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D4E5" w14:textId="04A840C4" w:rsidR="00036235" w:rsidRPr="00CC5C37" w:rsidRDefault="00A70076" w:rsidP="00E763BF">
      <w:pPr>
        <w:rPr>
          <w:rFonts w:ascii="Arial" w:hAnsi="Arial" w:cs="Arial"/>
          <w:b/>
          <w:bCs/>
        </w:rPr>
      </w:pPr>
      <w:r>
        <w:rPr>
          <w:rFonts w:ascii="Arial" w:hAnsi="Arial" w:cs="Arial"/>
          <w:b/>
          <w:bCs/>
          <w:noProof/>
        </w:rPr>
        <w:drawing>
          <wp:anchor distT="0" distB="0" distL="114300" distR="114300" simplePos="0" relativeHeight="251659264" behindDoc="0" locked="0" layoutInCell="1" allowOverlap="1" wp14:anchorId="0DA4D963" wp14:editId="58E87E33">
            <wp:simplePos x="0" y="0"/>
            <wp:positionH relativeFrom="column">
              <wp:posOffset>2196709</wp:posOffset>
            </wp:positionH>
            <wp:positionV relativeFrom="paragraph">
              <wp:posOffset>-527050</wp:posOffset>
            </wp:positionV>
            <wp:extent cx="1318895" cy="934085"/>
            <wp:effectExtent l="0" t="0" r="0" b="0"/>
            <wp:wrapNone/>
            <wp:docPr id="1400079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79217" name="Picture 14000792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895" cy="934085"/>
                    </a:xfrm>
                    <a:prstGeom prst="rect">
                      <a:avLst/>
                    </a:prstGeom>
                  </pic:spPr>
                </pic:pic>
              </a:graphicData>
            </a:graphic>
          </wp:anchor>
        </w:drawing>
      </w:r>
      <w:r w:rsidRPr="00CC5C37">
        <w:rPr>
          <w:rFonts w:ascii="Arial" w:hAnsi="Arial" w:cs="Arial"/>
          <w:b/>
          <w:bCs/>
          <w:noProof/>
        </w:rPr>
        <w:drawing>
          <wp:anchor distT="0" distB="0" distL="114300" distR="114300" simplePos="0" relativeHeight="251658240" behindDoc="1" locked="0" layoutInCell="1" allowOverlap="1" wp14:anchorId="486AE562" wp14:editId="7D0B5C8D">
            <wp:simplePos x="0" y="0"/>
            <wp:positionH relativeFrom="column">
              <wp:posOffset>3966357</wp:posOffset>
            </wp:positionH>
            <wp:positionV relativeFrom="paragraph">
              <wp:posOffset>-557432</wp:posOffset>
            </wp:positionV>
            <wp:extent cx="1948388" cy="914400"/>
            <wp:effectExtent l="0" t="0" r="0" b="0"/>
            <wp:wrapNone/>
            <wp:docPr id="1" name="Picture 1" descr="A blu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8388"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rPr>
        <w:drawing>
          <wp:anchor distT="0" distB="0" distL="114300" distR="114300" simplePos="0" relativeHeight="251660288" behindDoc="0" locked="0" layoutInCell="1" allowOverlap="1" wp14:anchorId="146BC01C" wp14:editId="45C95C58">
            <wp:simplePos x="0" y="0"/>
            <wp:positionH relativeFrom="column">
              <wp:posOffset>128563</wp:posOffset>
            </wp:positionH>
            <wp:positionV relativeFrom="paragraph">
              <wp:posOffset>-640812</wp:posOffset>
            </wp:positionV>
            <wp:extent cx="1680845" cy="1099185"/>
            <wp:effectExtent l="0" t="0" r="0" b="5715"/>
            <wp:wrapNone/>
            <wp:docPr id="1967755140" name="Picture 2" descr="A logo with a sun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55140" name="Picture 2" descr="A logo with a sun and mountain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0845" cy="1099185"/>
                    </a:xfrm>
                    <a:prstGeom prst="rect">
                      <a:avLst/>
                    </a:prstGeom>
                  </pic:spPr>
                </pic:pic>
              </a:graphicData>
            </a:graphic>
          </wp:anchor>
        </w:drawing>
      </w:r>
      <w:r w:rsidR="001A2EB4">
        <w:rPr>
          <w:rFonts w:ascii="Arial" w:hAnsi="Arial" w:cs="Arial"/>
          <w:b/>
          <w:bCs/>
        </w:rPr>
        <w:t xml:space="preserve"> </w:t>
      </w:r>
    </w:p>
    <w:p w14:paraId="3C1AA458" w14:textId="763BCB88" w:rsidR="00627530" w:rsidRPr="00CC5C37" w:rsidRDefault="00627530" w:rsidP="00F87608">
      <w:pPr>
        <w:jc w:val="center"/>
        <w:rPr>
          <w:rFonts w:ascii="Arial" w:hAnsi="Arial" w:cs="Arial"/>
          <w:b/>
          <w:bCs/>
        </w:rPr>
      </w:pPr>
    </w:p>
    <w:p w14:paraId="708B51D2" w14:textId="77777777" w:rsidR="00A70076" w:rsidRDefault="00A70076" w:rsidP="00F87608">
      <w:pPr>
        <w:jc w:val="center"/>
        <w:rPr>
          <w:rFonts w:ascii="Arial" w:hAnsi="Arial" w:cs="Arial"/>
          <w:b/>
          <w:bCs/>
          <w:sz w:val="24"/>
          <w:szCs w:val="24"/>
        </w:rPr>
      </w:pPr>
    </w:p>
    <w:p w14:paraId="080B1312" w14:textId="56BADA19" w:rsidR="007D1B14" w:rsidRPr="00CC5C37" w:rsidRDefault="00AC37F7" w:rsidP="00F87608">
      <w:pPr>
        <w:jc w:val="center"/>
        <w:rPr>
          <w:rFonts w:ascii="Arial" w:hAnsi="Arial" w:cs="Arial"/>
          <w:b/>
          <w:bCs/>
          <w:sz w:val="24"/>
          <w:szCs w:val="24"/>
        </w:rPr>
      </w:pPr>
      <w:r>
        <w:rPr>
          <w:rFonts w:ascii="Arial" w:hAnsi="Arial" w:cs="Arial"/>
          <w:b/>
          <w:bCs/>
          <w:sz w:val="24"/>
          <w:szCs w:val="24"/>
        </w:rPr>
        <w:t xml:space="preserve">Tourism </w:t>
      </w:r>
      <w:r w:rsidR="00F87608" w:rsidRPr="00CC5C37">
        <w:rPr>
          <w:rFonts w:ascii="Arial" w:hAnsi="Arial" w:cs="Arial"/>
          <w:b/>
          <w:bCs/>
          <w:sz w:val="24"/>
          <w:szCs w:val="24"/>
        </w:rPr>
        <w:t>Investment</w:t>
      </w:r>
      <w:r>
        <w:rPr>
          <w:rFonts w:ascii="Arial" w:hAnsi="Arial" w:cs="Arial"/>
          <w:b/>
          <w:bCs/>
          <w:sz w:val="24"/>
          <w:szCs w:val="24"/>
        </w:rPr>
        <w:t>s Forum</w:t>
      </w:r>
    </w:p>
    <w:p w14:paraId="3BC34535" w14:textId="75B1C790" w:rsidR="0008438F" w:rsidRPr="00CC5C37" w:rsidRDefault="00AC37F7" w:rsidP="00F87608">
      <w:pPr>
        <w:jc w:val="center"/>
        <w:rPr>
          <w:rFonts w:ascii="Arial" w:hAnsi="Arial" w:cs="Arial"/>
          <w:b/>
          <w:bCs/>
          <w:sz w:val="24"/>
          <w:szCs w:val="24"/>
        </w:rPr>
      </w:pPr>
      <w:r>
        <w:rPr>
          <w:rFonts w:ascii="Arial" w:hAnsi="Arial" w:cs="Arial"/>
          <w:b/>
          <w:bCs/>
          <w:sz w:val="24"/>
          <w:szCs w:val="24"/>
        </w:rPr>
        <w:t>“</w:t>
      </w:r>
      <w:r w:rsidR="00752020">
        <w:rPr>
          <w:rFonts w:ascii="Arial" w:hAnsi="Arial" w:cs="Arial"/>
          <w:b/>
          <w:bCs/>
          <w:sz w:val="24"/>
          <w:szCs w:val="24"/>
        </w:rPr>
        <w:t xml:space="preserve">Transforming </w:t>
      </w:r>
      <w:r w:rsidR="0008438F" w:rsidRPr="00CC5C37">
        <w:rPr>
          <w:rFonts w:ascii="Arial" w:hAnsi="Arial" w:cs="Arial"/>
          <w:b/>
          <w:bCs/>
          <w:sz w:val="24"/>
          <w:szCs w:val="24"/>
        </w:rPr>
        <w:t xml:space="preserve">Economies through </w:t>
      </w:r>
      <w:r w:rsidR="00E03468" w:rsidRPr="00CC5C37">
        <w:rPr>
          <w:rFonts w:ascii="Arial" w:hAnsi="Arial" w:cs="Arial"/>
          <w:b/>
          <w:bCs/>
          <w:sz w:val="24"/>
          <w:szCs w:val="24"/>
        </w:rPr>
        <w:t xml:space="preserve">Strategic </w:t>
      </w:r>
      <w:r w:rsidR="0008438F" w:rsidRPr="00CC5C37">
        <w:rPr>
          <w:rFonts w:ascii="Arial" w:hAnsi="Arial" w:cs="Arial"/>
          <w:b/>
          <w:bCs/>
          <w:sz w:val="24"/>
          <w:szCs w:val="24"/>
        </w:rPr>
        <w:t>Tourism Investments”</w:t>
      </w:r>
      <w:r w:rsidR="00E763BF" w:rsidRPr="00CC5C37">
        <w:rPr>
          <w:rFonts w:ascii="Arial" w:hAnsi="Arial" w:cs="Arial"/>
          <w:b/>
          <w:bCs/>
          <w:sz w:val="24"/>
          <w:szCs w:val="24"/>
        </w:rPr>
        <w:t xml:space="preserve">, </w:t>
      </w:r>
    </w:p>
    <w:p w14:paraId="3DF1331D" w14:textId="1246E4FB" w:rsidR="00F87608" w:rsidRDefault="00F87608" w:rsidP="00F87608">
      <w:pPr>
        <w:jc w:val="center"/>
        <w:rPr>
          <w:rFonts w:ascii="Arial" w:hAnsi="Arial" w:cs="Arial"/>
          <w:b/>
          <w:bCs/>
          <w:sz w:val="24"/>
          <w:szCs w:val="24"/>
        </w:rPr>
      </w:pPr>
      <w:r w:rsidRPr="00CC5C37">
        <w:rPr>
          <w:rFonts w:ascii="Arial" w:hAnsi="Arial" w:cs="Arial"/>
          <w:b/>
          <w:bCs/>
          <w:sz w:val="24"/>
          <w:szCs w:val="24"/>
        </w:rPr>
        <w:t>Dushanbe, Tajikistan</w:t>
      </w:r>
    </w:p>
    <w:p w14:paraId="1D4CE196" w14:textId="67E6547F" w:rsidR="0000250D" w:rsidRPr="00CC5C37" w:rsidRDefault="0000250D" w:rsidP="00F87608">
      <w:pPr>
        <w:jc w:val="center"/>
        <w:rPr>
          <w:rFonts w:ascii="Arial" w:hAnsi="Arial" w:cs="Arial"/>
          <w:b/>
          <w:bCs/>
          <w:sz w:val="24"/>
          <w:szCs w:val="24"/>
        </w:rPr>
      </w:pPr>
      <w:r>
        <w:rPr>
          <w:rFonts w:ascii="Arial" w:hAnsi="Arial" w:cs="Arial"/>
          <w:b/>
          <w:bCs/>
          <w:sz w:val="24"/>
          <w:szCs w:val="24"/>
        </w:rPr>
        <w:t>1</w:t>
      </w:r>
      <w:r w:rsidR="00047273">
        <w:rPr>
          <w:rFonts w:ascii="Arial" w:hAnsi="Arial" w:cs="Arial"/>
          <w:b/>
          <w:bCs/>
          <w:sz w:val="24"/>
          <w:szCs w:val="24"/>
        </w:rPr>
        <w:t>6</w:t>
      </w:r>
      <w:r>
        <w:rPr>
          <w:rFonts w:ascii="Arial" w:hAnsi="Arial" w:cs="Arial"/>
          <w:b/>
          <w:bCs/>
          <w:sz w:val="24"/>
          <w:szCs w:val="24"/>
        </w:rPr>
        <w:t>-18 September 2025</w:t>
      </w:r>
    </w:p>
    <w:p w14:paraId="2BC17F81" w14:textId="3BB28CF5" w:rsidR="00036235" w:rsidRPr="00CC5C37" w:rsidRDefault="00036235" w:rsidP="0008438F">
      <w:pPr>
        <w:jc w:val="both"/>
        <w:rPr>
          <w:rFonts w:ascii="Arial" w:hAnsi="Arial" w:cs="Arial"/>
        </w:rPr>
      </w:pPr>
    </w:p>
    <w:p w14:paraId="2E4E9672" w14:textId="77777777" w:rsidR="00454464" w:rsidRPr="00CC5C37" w:rsidRDefault="00036235" w:rsidP="00454464">
      <w:pPr>
        <w:jc w:val="both"/>
        <w:rPr>
          <w:rFonts w:ascii="Arial" w:hAnsi="Arial" w:cs="Arial"/>
        </w:rPr>
      </w:pPr>
      <w:r w:rsidRPr="00CC5C37">
        <w:rPr>
          <w:rFonts w:ascii="Arial" w:hAnsi="Arial" w:cs="Arial"/>
        </w:rPr>
        <w:t xml:space="preserve">Tourism has emerged as a powerful engine of economic growth, playing a crucial role in shaping the prosperity of nations across the globe. </w:t>
      </w:r>
      <w:r w:rsidR="00454464" w:rsidRPr="00CC5C37">
        <w:rPr>
          <w:rFonts w:ascii="Arial" w:hAnsi="Arial" w:cs="Arial"/>
        </w:rPr>
        <w:t>The sector not only brings in substantial financial inflows but also acts as a catalyst for broader economic development and regional cooperation. With its ability to generate employment, drive infrastructure development, and foster cultural exchange, tourism has the potential to transform economies and improve the quality of life for residents.</w:t>
      </w:r>
    </w:p>
    <w:p w14:paraId="72E7A9D5" w14:textId="77777777" w:rsidR="002B103A" w:rsidRDefault="002B103A" w:rsidP="0008438F">
      <w:pPr>
        <w:jc w:val="both"/>
        <w:rPr>
          <w:rFonts w:ascii="Arial" w:hAnsi="Arial" w:cs="Arial"/>
        </w:rPr>
      </w:pPr>
      <w:r w:rsidRPr="002B103A">
        <w:rPr>
          <w:rFonts w:ascii="Arial" w:hAnsi="Arial" w:cs="Arial"/>
        </w:rPr>
        <w:t xml:space="preserve">Over the last ten years (2015-2024), the tourism sector has seen over 3,972 greenfield projects globally, amounting to more than USD 272.9 billion in foreign direct investment and expected to create over 628,483 jobs. Of these, European economies have received USD 54.47 billion, or 20% of the total, with 1,597 projects (40%) and expected to create over 154,000 jobs (24%), while outward investment flows from Europe amounted USD 103.4 billion, or 37% of the total, with 1,973 projects (49%) and expected to create over 262,322 jobs (41%) globally, supporting the economic growth and development of the tourism sector both within Europe and beyond. </w:t>
      </w:r>
    </w:p>
    <w:p w14:paraId="20F03213" w14:textId="2027AA05" w:rsidR="00EB23C6" w:rsidRPr="00CC5C37" w:rsidRDefault="006C6CAE" w:rsidP="0008438F">
      <w:pPr>
        <w:jc w:val="both"/>
        <w:rPr>
          <w:rFonts w:ascii="Arial" w:hAnsi="Arial" w:cs="Arial"/>
        </w:rPr>
      </w:pPr>
      <w:r w:rsidRPr="006C6CAE">
        <w:rPr>
          <w:rFonts w:ascii="Arial" w:hAnsi="Arial" w:cs="Arial"/>
        </w:rPr>
        <w:t xml:space="preserve">Investing in tourism is not merely about attracting visitors – international tourist arrivals reached 1.465 </w:t>
      </w:r>
      <w:r w:rsidR="001B6C21">
        <w:rPr>
          <w:rFonts w:ascii="Arial" w:hAnsi="Arial" w:cs="Arial"/>
        </w:rPr>
        <w:t>b</w:t>
      </w:r>
      <w:r w:rsidRPr="006C6CAE">
        <w:rPr>
          <w:rFonts w:ascii="Arial" w:hAnsi="Arial" w:cs="Arial"/>
        </w:rPr>
        <w:t>illion, while Europe recorded 755.7 million in 2024</w:t>
      </w:r>
      <w:r w:rsidR="007D7A98">
        <w:rPr>
          <w:rStyle w:val="FootnoteReference"/>
          <w:rFonts w:ascii="Arial" w:hAnsi="Arial" w:cs="Arial"/>
          <w:i/>
          <w:iCs/>
        </w:rPr>
        <w:footnoteReference w:id="1"/>
      </w:r>
      <w:r w:rsidR="0031515D">
        <w:rPr>
          <w:rFonts w:ascii="Arial" w:hAnsi="Arial" w:cs="Arial"/>
        </w:rPr>
        <w:t xml:space="preserve"> -</w:t>
      </w:r>
      <w:r w:rsidR="00036235" w:rsidRPr="00CC5C37">
        <w:rPr>
          <w:rFonts w:ascii="Arial" w:hAnsi="Arial" w:cs="Arial"/>
        </w:rPr>
        <w:t xml:space="preserve"> it encompasses a wide array of economic activities that collectively contribute to a nation’s prosperity. Strategic investments in tourism can stimulate economic diversification and create positive spillover effects in various sectors, generating a ripple effect beyond tourism itself. These positive externalities contribute to the overall stability and growth of the economy.</w:t>
      </w:r>
    </w:p>
    <w:p w14:paraId="1C3782D9" w14:textId="2D38EADE" w:rsidR="00F714EE" w:rsidRPr="00CC5C37" w:rsidRDefault="00F714EE" w:rsidP="00F714EE">
      <w:pPr>
        <w:jc w:val="both"/>
        <w:rPr>
          <w:rFonts w:ascii="Arial" w:hAnsi="Arial" w:cs="Arial"/>
        </w:rPr>
      </w:pPr>
      <w:r w:rsidRPr="00CC5C37">
        <w:rPr>
          <w:rFonts w:ascii="Arial" w:hAnsi="Arial" w:cs="Arial"/>
        </w:rPr>
        <w:t>Tajikistan, as the host country of this conference, exemplifies the potential of tourism investment to drive economic growth. Known for its stunning natural landscapes, rich cultural heritage, and unique historical sites, Tajikistan offers vast opportunities for tourism development. The country is actively seeking investment to enhance its tourism infrastructure, promote sustainable tourism practices, and create new attractions that can draw international visitors.</w:t>
      </w:r>
    </w:p>
    <w:p w14:paraId="171A2D79" w14:textId="26A7512C" w:rsidR="00F714EE" w:rsidRPr="00CC5C37" w:rsidRDefault="00F714EE" w:rsidP="00F714EE">
      <w:pPr>
        <w:jc w:val="both"/>
        <w:rPr>
          <w:rFonts w:ascii="Arial" w:hAnsi="Arial" w:cs="Arial"/>
        </w:rPr>
      </w:pPr>
      <w:r w:rsidRPr="00CC5C37">
        <w:rPr>
          <w:rFonts w:ascii="Arial" w:hAnsi="Arial" w:cs="Arial"/>
        </w:rPr>
        <w:t>To maximize these benefits, it is essential to approach tourism investment with a focus on sustainability, diversification, and collaboration, ensuring long-lasting and inclusive economic growth. Tajikistan's commitment to these principles makes it an attractive destination for tourism investors looking to make a meaningful impact on economic development and regional cooperation.</w:t>
      </w:r>
    </w:p>
    <w:p w14:paraId="51EA09DE" w14:textId="77777777" w:rsidR="00036235" w:rsidRDefault="00036235" w:rsidP="0008438F">
      <w:pPr>
        <w:jc w:val="both"/>
        <w:rPr>
          <w:rFonts w:ascii="Arial" w:hAnsi="Arial" w:cs="Arial"/>
        </w:rPr>
      </w:pPr>
    </w:p>
    <w:p w14:paraId="72AF71D4" w14:textId="77777777" w:rsidR="00CC5C37" w:rsidRDefault="00CC5C37" w:rsidP="0008438F">
      <w:pPr>
        <w:jc w:val="both"/>
        <w:rPr>
          <w:rFonts w:ascii="Arial" w:hAnsi="Arial" w:cs="Arial"/>
        </w:rPr>
      </w:pPr>
    </w:p>
    <w:p w14:paraId="1FCA9C3E" w14:textId="77777777" w:rsidR="00CC5C37" w:rsidRPr="00CC5C37" w:rsidRDefault="00CC5C37" w:rsidP="0008438F">
      <w:pPr>
        <w:jc w:val="both"/>
        <w:rPr>
          <w:rFonts w:ascii="Arial" w:hAnsi="Arial" w:cs="Arial"/>
        </w:rPr>
      </w:pPr>
    </w:p>
    <w:p w14:paraId="17B12AD3" w14:textId="5F703053" w:rsidR="0008438F" w:rsidRPr="00CC5C37" w:rsidRDefault="0065483E" w:rsidP="0008438F">
      <w:pPr>
        <w:jc w:val="both"/>
        <w:rPr>
          <w:rFonts w:ascii="Arial" w:hAnsi="Arial" w:cs="Arial"/>
          <w:b/>
          <w:bCs/>
          <w:u w:val="single"/>
        </w:rPr>
      </w:pPr>
      <w:r>
        <w:rPr>
          <w:rFonts w:ascii="Arial" w:hAnsi="Arial" w:cs="Arial"/>
          <w:b/>
          <w:bCs/>
          <w:u w:val="single"/>
        </w:rPr>
        <w:lastRenderedPageBreak/>
        <w:t xml:space="preserve">16 September </w:t>
      </w:r>
      <w:r w:rsidR="00627530" w:rsidRPr="00CC5C37">
        <w:rPr>
          <w:rFonts w:ascii="Arial" w:hAnsi="Arial" w:cs="Arial"/>
          <w:b/>
          <w:bCs/>
          <w:u w:val="single"/>
        </w:rPr>
        <w:t>(</w:t>
      </w:r>
      <w:r>
        <w:rPr>
          <w:rFonts w:ascii="Arial" w:hAnsi="Arial" w:cs="Arial"/>
          <w:b/>
          <w:bCs/>
          <w:u w:val="single"/>
        </w:rPr>
        <w:t>Tuesday</w:t>
      </w:r>
      <w:r w:rsidR="00627530" w:rsidRPr="00CC5C37">
        <w:rPr>
          <w:rFonts w:ascii="Arial" w:hAnsi="Arial" w:cs="Arial"/>
          <w:b/>
          <w:bCs/>
          <w:u w:val="single"/>
        </w:rPr>
        <w:t>)</w:t>
      </w:r>
    </w:p>
    <w:p w14:paraId="029102B2" w14:textId="2C784E36" w:rsidR="00CC5C37" w:rsidRPr="00134E57" w:rsidRDefault="0008438F" w:rsidP="0008438F">
      <w:pPr>
        <w:jc w:val="both"/>
        <w:rPr>
          <w:rFonts w:ascii="Arial" w:hAnsi="Arial" w:cs="Arial"/>
        </w:rPr>
      </w:pPr>
      <w:r w:rsidRPr="00CC5C37">
        <w:rPr>
          <w:rFonts w:ascii="Arial" w:hAnsi="Arial" w:cs="Arial"/>
        </w:rPr>
        <w:t>20:00</w:t>
      </w:r>
      <w:r w:rsidRPr="00CC5C37">
        <w:rPr>
          <w:rFonts w:ascii="Arial" w:hAnsi="Arial" w:cs="Arial"/>
        </w:rPr>
        <w:tab/>
      </w:r>
      <w:r w:rsidRPr="00CC5C37">
        <w:rPr>
          <w:rFonts w:ascii="Arial" w:hAnsi="Arial" w:cs="Arial"/>
        </w:rPr>
        <w:tab/>
      </w:r>
      <w:r w:rsidRPr="00CC5C37">
        <w:rPr>
          <w:rFonts w:ascii="Arial" w:hAnsi="Arial" w:cs="Arial"/>
        </w:rPr>
        <w:tab/>
      </w:r>
      <w:r w:rsidRPr="004226C5">
        <w:rPr>
          <w:rFonts w:ascii="Arial" w:hAnsi="Arial" w:cs="Arial"/>
          <w:b/>
          <w:bCs/>
        </w:rPr>
        <w:t xml:space="preserve">Welcome </w:t>
      </w:r>
      <w:r w:rsidR="004226C5">
        <w:rPr>
          <w:rFonts w:ascii="Arial" w:hAnsi="Arial" w:cs="Arial"/>
          <w:b/>
          <w:bCs/>
        </w:rPr>
        <w:t>C</w:t>
      </w:r>
      <w:r w:rsidRPr="004226C5">
        <w:rPr>
          <w:rFonts w:ascii="Arial" w:hAnsi="Arial" w:cs="Arial"/>
          <w:b/>
          <w:bCs/>
        </w:rPr>
        <w:t>ocktail</w:t>
      </w:r>
      <w:r w:rsidRPr="00CC5C37">
        <w:rPr>
          <w:rFonts w:ascii="Arial" w:hAnsi="Arial" w:cs="Arial"/>
        </w:rPr>
        <w:t xml:space="preserve"> </w:t>
      </w:r>
    </w:p>
    <w:p w14:paraId="1343E8CE" w14:textId="454A1594" w:rsidR="0008438F" w:rsidRDefault="00936F32" w:rsidP="0008438F">
      <w:pPr>
        <w:jc w:val="both"/>
        <w:rPr>
          <w:rFonts w:ascii="Arial" w:hAnsi="Arial" w:cs="Arial"/>
          <w:b/>
          <w:bCs/>
          <w:u w:val="single"/>
        </w:rPr>
      </w:pPr>
      <w:r>
        <w:rPr>
          <w:rFonts w:ascii="Arial" w:hAnsi="Arial" w:cs="Arial"/>
          <w:b/>
          <w:bCs/>
          <w:u w:val="single"/>
        </w:rPr>
        <w:t>17 September (Wednesday</w:t>
      </w:r>
      <w:r w:rsidR="00627530" w:rsidRPr="00CC5C37">
        <w:rPr>
          <w:rFonts w:ascii="Arial" w:hAnsi="Arial" w:cs="Arial"/>
          <w:b/>
          <w:bCs/>
          <w:u w:val="single"/>
        </w:rPr>
        <w:t>)</w:t>
      </w:r>
    </w:p>
    <w:p w14:paraId="595736F5" w14:textId="4D86DEBE" w:rsidR="00AD2048" w:rsidRPr="00A85843" w:rsidRDefault="00AD2048" w:rsidP="0008438F">
      <w:pPr>
        <w:jc w:val="both"/>
        <w:rPr>
          <w:rFonts w:ascii="Arial" w:hAnsi="Arial" w:cs="Arial"/>
          <w:b/>
          <w:bCs/>
        </w:rPr>
      </w:pPr>
      <w:r w:rsidRPr="00A85843">
        <w:rPr>
          <w:rFonts w:ascii="Arial" w:hAnsi="Arial" w:cs="Arial"/>
          <w:b/>
          <w:bCs/>
        </w:rPr>
        <w:t xml:space="preserve">Master of Ceremony: Ms. Anita </w:t>
      </w:r>
      <w:r w:rsidR="000E4DFD" w:rsidRPr="00A85843">
        <w:rPr>
          <w:rFonts w:ascii="Arial" w:hAnsi="Arial" w:cs="Arial"/>
          <w:b/>
          <w:bCs/>
        </w:rPr>
        <w:t>Mendiratta</w:t>
      </w:r>
      <w:r w:rsidR="004F5462" w:rsidRPr="00A85843">
        <w:rPr>
          <w:rFonts w:ascii="Arial" w:hAnsi="Arial" w:cs="Arial"/>
          <w:b/>
          <w:bCs/>
        </w:rPr>
        <w:t>, Special Advisor to Secretary General, UN Tourism</w:t>
      </w:r>
    </w:p>
    <w:p w14:paraId="4D3A74D6" w14:textId="63C911E5" w:rsidR="0008438F" w:rsidRDefault="0051202C" w:rsidP="0008438F">
      <w:pPr>
        <w:jc w:val="both"/>
        <w:rPr>
          <w:rFonts w:ascii="Arial" w:hAnsi="Arial" w:cs="Arial"/>
        </w:rPr>
      </w:pPr>
      <w:r w:rsidRPr="00CC5C37">
        <w:rPr>
          <w:rFonts w:ascii="Arial" w:hAnsi="Arial" w:cs="Arial"/>
        </w:rPr>
        <w:t>10:00</w:t>
      </w:r>
      <w:r w:rsidR="0008438F" w:rsidRPr="00CC5C37">
        <w:rPr>
          <w:rFonts w:ascii="Arial" w:hAnsi="Arial" w:cs="Arial"/>
        </w:rPr>
        <w:t xml:space="preserve"> – 10:</w:t>
      </w:r>
      <w:r w:rsidRPr="00CC5C37">
        <w:rPr>
          <w:rFonts w:ascii="Arial" w:hAnsi="Arial" w:cs="Arial"/>
        </w:rPr>
        <w:t>30</w:t>
      </w:r>
      <w:r w:rsidR="00CC5C37">
        <w:rPr>
          <w:rFonts w:ascii="Arial" w:hAnsi="Arial" w:cs="Arial"/>
        </w:rPr>
        <w:tab/>
      </w:r>
      <w:r w:rsidR="00CC5C37">
        <w:rPr>
          <w:rFonts w:ascii="Arial" w:hAnsi="Arial" w:cs="Arial"/>
        </w:rPr>
        <w:tab/>
      </w:r>
      <w:r w:rsidR="0008438F" w:rsidRPr="00CC5C37">
        <w:rPr>
          <w:rFonts w:ascii="Arial" w:hAnsi="Arial" w:cs="Arial"/>
          <w:b/>
          <w:bCs/>
        </w:rPr>
        <w:t xml:space="preserve">Opening and </w:t>
      </w:r>
      <w:r w:rsidR="00627530" w:rsidRPr="00CC5C37">
        <w:rPr>
          <w:rFonts w:ascii="Arial" w:hAnsi="Arial" w:cs="Arial"/>
          <w:b/>
          <w:bCs/>
        </w:rPr>
        <w:t>W</w:t>
      </w:r>
      <w:r w:rsidR="0008438F" w:rsidRPr="00CC5C37">
        <w:rPr>
          <w:rFonts w:ascii="Arial" w:hAnsi="Arial" w:cs="Arial"/>
          <w:b/>
          <w:bCs/>
        </w:rPr>
        <w:t xml:space="preserve">elcome </w:t>
      </w:r>
      <w:r w:rsidR="00627530" w:rsidRPr="00CC5C37">
        <w:rPr>
          <w:rFonts w:ascii="Arial" w:hAnsi="Arial" w:cs="Arial"/>
          <w:b/>
          <w:bCs/>
        </w:rPr>
        <w:t>R</w:t>
      </w:r>
      <w:r w:rsidR="0008438F" w:rsidRPr="00CC5C37">
        <w:rPr>
          <w:rFonts w:ascii="Arial" w:hAnsi="Arial" w:cs="Arial"/>
          <w:b/>
          <w:bCs/>
        </w:rPr>
        <w:t>emarks</w:t>
      </w:r>
      <w:r w:rsidR="0008438F" w:rsidRPr="00CC5C37">
        <w:rPr>
          <w:rFonts w:ascii="Arial" w:hAnsi="Arial" w:cs="Arial"/>
        </w:rPr>
        <w:t xml:space="preserve"> </w:t>
      </w:r>
    </w:p>
    <w:p w14:paraId="43833AAB" w14:textId="1F7CDB88" w:rsidR="008E7CBA" w:rsidRPr="00446F7C" w:rsidRDefault="008E7CBA" w:rsidP="008E7CBA">
      <w:pPr>
        <w:pStyle w:val="ListParagraph"/>
        <w:numPr>
          <w:ilvl w:val="0"/>
          <w:numId w:val="7"/>
        </w:numPr>
        <w:jc w:val="both"/>
        <w:rPr>
          <w:rFonts w:ascii="Arial" w:hAnsi="Arial" w:cs="Arial"/>
        </w:rPr>
      </w:pPr>
      <w:r w:rsidRPr="00446F7C">
        <w:rPr>
          <w:rFonts w:ascii="Arial" w:hAnsi="Arial" w:cs="Arial"/>
        </w:rPr>
        <w:t>Prime Minister/1</w:t>
      </w:r>
      <w:r w:rsidRPr="00446F7C">
        <w:rPr>
          <w:rFonts w:ascii="Arial" w:hAnsi="Arial" w:cs="Arial"/>
          <w:vertAlign w:val="superscript"/>
        </w:rPr>
        <w:t>st</w:t>
      </w:r>
      <w:r w:rsidRPr="00446F7C">
        <w:rPr>
          <w:rFonts w:ascii="Arial" w:hAnsi="Arial" w:cs="Arial"/>
        </w:rPr>
        <w:t xml:space="preserve"> Deputy Prime Minister </w:t>
      </w:r>
      <w:r w:rsidR="004226C5" w:rsidRPr="00446F7C">
        <w:rPr>
          <w:rFonts w:ascii="Arial" w:hAnsi="Arial" w:cs="Arial"/>
        </w:rPr>
        <w:t>(TBC)</w:t>
      </w:r>
    </w:p>
    <w:p w14:paraId="1C6E93AE" w14:textId="252E82E4" w:rsidR="008E7CBA" w:rsidRPr="003A1871" w:rsidRDefault="0005444B" w:rsidP="003A1871">
      <w:pPr>
        <w:pStyle w:val="ListParagraph"/>
        <w:numPr>
          <w:ilvl w:val="3"/>
          <w:numId w:val="10"/>
        </w:numPr>
        <w:jc w:val="both"/>
        <w:rPr>
          <w:rFonts w:ascii="Arial" w:hAnsi="Arial" w:cs="Arial"/>
        </w:rPr>
      </w:pPr>
      <w:r w:rsidRPr="0005444B">
        <w:rPr>
          <w:rFonts w:ascii="Arial" w:hAnsi="Arial" w:cs="Arial"/>
        </w:rPr>
        <w:t>Jamshed Jumakhonzoda</w:t>
      </w:r>
      <w:r>
        <w:rPr>
          <w:rFonts w:ascii="Arial" w:hAnsi="Arial" w:cs="Arial"/>
        </w:rPr>
        <w:t xml:space="preserve">, </w:t>
      </w:r>
      <w:r w:rsidR="003A1871" w:rsidRPr="004226C5">
        <w:rPr>
          <w:rFonts w:ascii="Arial" w:hAnsi="Arial" w:cs="Arial"/>
        </w:rPr>
        <w:t>Chairman</w:t>
      </w:r>
      <w:r w:rsidR="003A1871">
        <w:rPr>
          <w:rFonts w:ascii="Arial" w:hAnsi="Arial" w:cs="Arial"/>
        </w:rPr>
        <w:t xml:space="preserve">, </w:t>
      </w:r>
      <w:r w:rsidR="003A1871" w:rsidRPr="004226C5">
        <w:rPr>
          <w:rFonts w:ascii="Arial" w:hAnsi="Arial" w:cs="Arial"/>
        </w:rPr>
        <w:t>Committee for Tourism Development under the Government of Tajikistan,</w:t>
      </w:r>
    </w:p>
    <w:p w14:paraId="5FF134CB" w14:textId="5AEA073F" w:rsidR="008E7CBA" w:rsidRPr="008E7CBA" w:rsidRDefault="00B661C0" w:rsidP="0008438F">
      <w:pPr>
        <w:pStyle w:val="ListParagraph"/>
        <w:numPr>
          <w:ilvl w:val="0"/>
          <w:numId w:val="7"/>
        </w:numPr>
        <w:jc w:val="both"/>
        <w:rPr>
          <w:rFonts w:ascii="Arial" w:hAnsi="Arial" w:cs="Arial"/>
        </w:rPr>
      </w:pPr>
      <w:r>
        <w:rPr>
          <w:rFonts w:ascii="Arial" w:hAnsi="Arial" w:cs="Arial"/>
        </w:rPr>
        <w:t xml:space="preserve">UN Tourism </w:t>
      </w:r>
    </w:p>
    <w:p w14:paraId="1F4D1A59" w14:textId="108F6385" w:rsidR="0008438F" w:rsidRDefault="0008438F" w:rsidP="00627530">
      <w:pPr>
        <w:ind w:left="2160" w:hanging="2160"/>
        <w:jc w:val="both"/>
        <w:rPr>
          <w:rFonts w:ascii="Arial" w:hAnsi="Arial" w:cs="Arial"/>
        </w:rPr>
      </w:pPr>
      <w:r w:rsidRPr="00CC5C37">
        <w:rPr>
          <w:rFonts w:ascii="Arial" w:hAnsi="Arial" w:cs="Arial"/>
        </w:rPr>
        <w:t>10:</w:t>
      </w:r>
      <w:r w:rsidR="0051202C" w:rsidRPr="00CC5C37">
        <w:rPr>
          <w:rFonts w:ascii="Arial" w:hAnsi="Arial" w:cs="Arial"/>
        </w:rPr>
        <w:t>30</w:t>
      </w:r>
      <w:r w:rsidRPr="00CC5C37">
        <w:rPr>
          <w:rFonts w:ascii="Arial" w:hAnsi="Arial" w:cs="Arial"/>
        </w:rPr>
        <w:t xml:space="preserve"> – 10:</w:t>
      </w:r>
      <w:r w:rsidR="0051202C" w:rsidRPr="00CC5C37">
        <w:rPr>
          <w:rFonts w:ascii="Arial" w:hAnsi="Arial" w:cs="Arial"/>
        </w:rPr>
        <w:t>3</w:t>
      </w:r>
      <w:r w:rsidR="00C741CD" w:rsidRPr="00CC5C37">
        <w:rPr>
          <w:rFonts w:ascii="Arial" w:hAnsi="Arial" w:cs="Arial"/>
        </w:rPr>
        <w:t>5</w:t>
      </w:r>
      <w:r w:rsidRPr="00CC5C37">
        <w:rPr>
          <w:rFonts w:ascii="Arial" w:hAnsi="Arial" w:cs="Arial"/>
        </w:rPr>
        <w:tab/>
      </w:r>
      <w:r w:rsidRPr="00CC5C37">
        <w:rPr>
          <w:rFonts w:ascii="Arial" w:hAnsi="Arial" w:cs="Arial"/>
          <w:b/>
          <w:bCs/>
        </w:rPr>
        <w:t xml:space="preserve">Official </w:t>
      </w:r>
      <w:r w:rsidR="00627530" w:rsidRPr="00CC5C37">
        <w:rPr>
          <w:rFonts w:ascii="Arial" w:hAnsi="Arial" w:cs="Arial"/>
          <w:b/>
          <w:bCs/>
        </w:rPr>
        <w:t>H</w:t>
      </w:r>
      <w:r w:rsidRPr="00CC5C37">
        <w:rPr>
          <w:rFonts w:ascii="Arial" w:hAnsi="Arial" w:cs="Arial"/>
          <w:b/>
          <w:bCs/>
        </w:rPr>
        <w:t xml:space="preserve">and-over </w:t>
      </w:r>
      <w:r w:rsidR="00627530" w:rsidRPr="00CC5C37">
        <w:rPr>
          <w:rFonts w:ascii="Arial" w:hAnsi="Arial" w:cs="Arial"/>
          <w:b/>
          <w:bCs/>
        </w:rPr>
        <w:t>C</w:t>
      </w:r>
      <w:r w:rsidRPr="00CC5C37">
        <w:rPr>
          <w:rFonts w:ascii="Arial" w:hAnsi="Arial" w:cs="Arial"/>
          <w:b/>
          <w:bCs/>
        </w:rPr>
        <w:t>eremony of the “Tourism Doing Business: Investing in Tajikistan</w:t>
      </w:r>
      <w:r w:rsidRPr="00CC5C37">
        <w:rPr>
          <w:rFonts w:ascii="Arial" w:hAnsi="Arial" w:cs="Arial"/>
        </w:rPr>
        <w:t xml:space="preserve">” </w:t>
      </w:r>
      <w:r w:rsidR="00627530" w:rsidRPr="00CC5C37">
        <w:rPr>
          <w:rFonts w:ascii="Arial" w:hAnsi="Arial" w:cs="Arial"/>
        </w:rPr>
        <w:t>tourism investment guidelines</w:t>
      </w:r>
      <w:r w:rsidR="0005444B">
        <w:rPr>
          <w:rFonts w:ascii="Arial" w:hAnsi="Arial" w:cs="Arial"/>
        </w:rPr>
        <w:t xml:space="preserve"> (TBC)</w:t>
      </w:r>
    </w:p>
    <w:p w14:paraId="33F915A8" w14:textId="51EE26C0" w:rsidR="0008438F" w:rsidRDefault="0008438F" w:rsidP="0008438F">
      <w:pPr>
        <w:ind w:left="2160" w:hanging="2160"/>
        <w:jc w:val="both"/>
        <w:rPr>
          <w:rFonts w:ascii="Arial" w:hAnsi="Arial" w:cs="Arial"/>
        </w:rPr>
      </w:pPr>
      <w:r w:rsidRPr="00CC5C37">
        <w:rPr>
          <w:rFonts w:ascii="Arial" w:hAnsi="Arial" w:cs="Arial"/>
        </w:rPr>
        <w:t>10:</w:t>
      </w:r>
      <w:r w:rsidR="0051202C" w:rsidRPr="00CC5C37">
        <w:rPr>
          <w:rFonts w:ascii="Arial" w:hAnsi="Arial" w:cs="Arial"/>
        </w:rPr>
        <w:t>3</w:t>
      </w:r>
      <w:r w:rsidR="00C741CD" w:rsidRPr="00CC5C37">
        <w:rPr>
          <w:rFonts w:ascii="Arial" w:hAnsi="Arial" w:cs="Arial"/>
        </w:rPr>
        <w:t xml:space="preserve">5 </w:t>
      </w:r>
      <w:r w:rsidRPr="00CC5C37">
        <w:rPr>
          <w:rFonts w:ascii="Arial" w:hAnsi="Arial" w:cs="Arial"/>
        </w:rPr>
        <w:t>– 10:</w:t>
      </w:r>
      <w:r w:rsidR="0051202C" w:rsidRPr="00CC5C37">
        <w:rPr>
          <w:rFonts w:ascii="Arial" w:hAnsi="Arial" w:cs="Arial"/>
        </w:rPr>
        <w:t>50</w:t>
      </w:r>
      <w:r w:rsidRPr="00CC5C37">
        <w:rPr>
          <w:rFonts w:ascii="Arial" w:hAnsi="Arial" w:cs="Arial"/>
        </w:rPr>
        <w:tab/>
      </w:r>
      <w:r w:rsidR="00627530" w:rsidRPr="00CC5C37">
        <w:rPr>
          <w:rFonts w:ascii="Arial" w:hAnsi="Arial" w:cs="Arial"/>
          <w:b/>
          <w:bCs/>
        </w:rPr>
        <w:t>Keynote speech</w:t>
      </w:r>
      <w:r w:rsidR="00627530" w:rsidRPr="00CC5C37">
        <w:rPr>
          <w:rFonts w:ascii="Arial" w:hAnsi="Arial" w:cs="Arial"/>
        </w:rPr>
        <w:t>: “</w:t>
      </w:r>
      <w:r w:rsidR="00627530" w:rsidRPr="00CC5C37">
        <w:rPr>
          <w:rFonts w:ascii="Arial" w:hAnsi="Arial" w:cs="Arial"/>
          <w:b/>
          <w:bCs/>
        </w:rPr>
        <w:t>Global Tourism Investment Outlook and Trends”</w:t>
      </w:r>
      <w:r w:rsidR="00627530" w:rsidRPr="00CC5C37">
        <w:rPr>
          <w:rFonts w:ascii="Arial" w:hAnsi="Arial" w:cs="Arial"/>
        </w:rPr>
        <w:t xml:space="preserve"> and </w:t>
      </w:r>
      <w:r w:rsidRPr="00CC5C37">
        <w:rPr>
          <w:rFonts w:ascii="Arial" w:hAnsi="Arial" w:cs="Arial"/>
          <w:b/>
          <w:bCs/>
        </w:rPr>
        <w:t>Presentation of the “Tourism Doing Business: Investing in Tajikistan</w:t>
      </w:r>
      <w:r w:rsidRPr="00CC5C37">
        <w:rPr>
          <w:rFonts w:ascii="Arial" w:hAnsi="Arial" w:cs="Arial"/>
        </w:rPr>
        <w:t>”</w:t>
      </w:r>
      <w:r w:rsidR="00627530" w:rsidRPr="00CC5C37">
        <w:rPr>
          <w:rFonts w:ascii="Arial" w:hAnsi="Arial" w:cs="Arial"/>
        </w:rPr>
        <w:t xml:space="preserve"> tourism investment guidelines</w:t>
      </w:r>
    </w:p>
    <w:p w14:paraId="065FAA4A" w14:textId="4E8C670A" w:rsidR="004226C5" w:rsidRDefault="00B661C0" w:rsidP="0051202C">
      <w:pPr>
        <w:ind w:left="2160" w:hanging="2160"/>
        <w:jc w:val="both"/>
        <w:rPr>
          <w:rFonts w:ascii="Arial" w:hAnsi="Arial" w:cs="Arial"/>
          <w:b/>
          <w:bCs/>
        </w:rPr>
      </w:pPr>
      <w:r>
        <w:rPr>
          <w:rFonts w:ascii="Arial" w:hAnsi="Arial" w:cs="Arial"/>
        </w:rPr>
        <w:t>10:50 – 11:00</w:t>
      </w:r>
      <w:r>
        <w:rPr>
          <w:rFonts w:ascii="Arial" w:hAnsi="Arial" w:cs="Arial"/>
        </w:rPr>
        <w:tab/>
      </w:r>
      <w:r w:rsidR="007F0316" w:rsidRPr="00F54751">
        <w:rPr>
          <w:rFonts w:ascii="Arial" w:hAnsi="Arial" w:cs="Arial"/>
          <w:b/>
          <w:bCs/>
        </w:rPr>
        <w:t>Attracting and Managing Investments in Tajikistan's Tourism Sector</w:t>
      </w:r>
    </w:p>
    <w:p w14:paraId="2825B726" w14:textId="640B323E" w:rsidR="007F0316" w:rsidRDefault="00BF780B" w:rsidP="000D7F04">
      <w:pPr>
        <w:ind w:left="2160"/>
        <w:jc w:val="both"/>
        <w:rPr>
          <w:rFonts w:ascii="Arial" w:hAnsi="Arial" w:cs="Arial"/>
          <w:b/>
          <w:bCs/>
        </w:rPr>
      </w:pPr>
      <w:r>
        <w:rPr>
          <w:rFonts w:ascii="Arial" w:hAnsi="Arial" w:cs="Arial"/>
          <w:b/>
          <w:bCs/>
        </w:rPr>
        <w:t>M</w:t>
      </w:r>
      <w:r>
        <w:rPr>
          <w:rFonts w:ascii="Arial" w:hAnsi="Arial" w:cs="Arial"/>
          <w:b/>
          <w:bCs/>
        </w:rPr>
        <w:t xml:space="preserve">r. </w:t>
      </w:r>
      <w:proofErr w:type="spellStart"/>
      <w:r w:rsidRPr="00F54751">
        <w:rPr>
          <w:rFonts w:ascii="Arial" w:hAnsi="Arial" w:cs="Arial"/>
          <w:b/>
          <w:bCs/>
        </w:rPr>
        <w:t>Dilshod</w:t>
      </w:r>
      <w:proofErr w:type="spellEnd"/>
      <w:r w:rsidRPr="00F54751">
        <w:rPr>
          <w:rFonts w:ascii="Arial" w:hAnsi="Arial" w:cs="Arial"/>
          <w:b/>
          <w:bCs/>
        </w:rPr>
        <w:t xml:space="preserve"> </w:t>
      </w:r>
      <w:proofErr w:type="spellStart"/>
      <w:r w:rsidRPr="00F54751">
        <w:rPr>
          <w:rFonts w:ascii="Arial" w:hAnsi="Arial" w:cs="Arial"/>
          <w:b/>
          <w:bCs/>
        </w:rPr>
        <w:t>Jurazoda</w:t>
      </w:r>
      <w:proofErr w:type="spellEnd"/>
      <w:r w:rsidRPr="00F54751">
        <w:rPr>
          <w:rFonts w:ascii="Arial" w:hAnsi="Arial" w:cs="Arial"/>
          <w:b/>
          <w:bCs/>
        </w:rPr>
        <w:t xml:space="preserve">, Director, </w:t>
      </w:r>
      <w:proofErr w:type="spellStart"/>
      <w:r w:rsidRPr="00F54751">
        <w:rPr>
          <w:rFonts w:ascii="Arial" w:hAnsi="Arial" w:cs="Arial"/>
          <w:b/>
          <w:bCs/>
        </w:rPr>
        <w:t>Tajinvest</w:t>
      </w:r>
      <w:proofErr w:type="spellEnd"/>
    </w:p>
    <w:p w14:paraId="113163F9" w14:textId="222F6583" w:rsidR="0008438F" w:rsidRPr="00CC5C37" w:rsidRDefault="0008438F" w:rsidP="0051202C">
      <w:pPr>
        <w:ind w:left="2160" w:hanging="2160"/>
        <w:jc w:val="both"/>
        <w:rPr>
          <w:rFonts w:ascii="Arial" w:hAnsi="Arial" w:cs="Arial"/>
          <w:b/>
          <w:bCs/>
        </w:rPr>
      </w:pPr>
      <w:r w:rsidRPr="00CC5C37">
        <w:rPr>
          <w:rFonts w:ascii="Arial" w:hAnsi="Arial" w:cs="Arial"/>
        </w:rPr>
        <w:t>1</w:t>
      </w:r>
      <w:r w:rsidR="00863A7C">
        <w:rPr>
          <w:rFonts w:ascii="Arial" w:hAnsi="Arial" w:cs="Arial"/>
        </w:rPr>
        <w:t>1</w:t>
      </w:r>
      <w:r w:rsidRPr="00CC5C37">
        <w:rPr>
          <w:rFonts w:ascii="Arial" w:hAnsi="Arial" w:cs="Arial"/>
        </w:rPr>
        <w:t>:</w:t>
      </w:r>
      <w:r w:rsidR="00AC37F7">
        <w:rPr>
          <w:rFonts w:ascii="Arial" w:hAnsi="Arial" w:cs="Arial"/>
        </w:rPr>
        <w:t>00</w:t>
      </w:r>
      <w:r w:rsidRPr="00CC5C37">
        <w:rPr>
          <w:rFonts w:ascii="Arial" w:hAnsi="Arial" w:cs="Arial"/>
        </w:rPr>
        <w:t xml:space="preserve"> – 1</w:t>
      </w:r>
      <w:r w:rsidR="00AC37F7">
        <w:rPr>
          <w:rFonts w:ascii="Arial" w:hAnsi="Arial" w:cs="Arial"/>
        </w:rPr>
        <w:t>2:00</w:t>
      </w:r>
      <w:r w:rsidRPr="00CC5C37">
        <w:rPr>
          <w:rFonts w:ascii="Arial" w:hAnsi="Arial" w:cs="Arial"/>
        </w:rPr>
        <w:tab/>
      </w:r>
      <w:r w:rsidR="00C741CD" w:rsidRPr="00CC5C37">
        <w:rPr>
          <w:rFonts w:ascii="Arial" w:hAnsi="Arial" w:cs="Arial"/>
          <w:b/>
          <w:bCs/>
        </w:rPr>
        <w:t xml:space="preserve">High-level </w:t>
      </w:r>
      <w:r w:rsidR="00627530" w:rsidRPr="00CC5C37">
        <w:rPr>
          <w:rFonts w:ascii="Arial" w:hAnsi="Arial" w:cs="Arial"/>
          <w:b/>
          <w:bCs/>
        </w:rPr>
        <w:t xml:space="preserve">Public and Private Sector </w:t>
      </w:r>
      <w:r w:rsidR="006A1492" w:rsidRPr="00CC5C37">
        <w:rPr>
          <w:rFonts w:ascii="Arial" w:hAnsi="Arial" w:cs="Arial"/>
          <w:b/>
          <w:bCs/>
        </w:rPr>
        <w:t>D</w:t>
      </w:r>
      <w:r w:rsidR="00C741CD" w:rsidRPr="00CC5C37">
        <w:rPr>
          <w:rFonts w:ascii="Arial" w:hAnsi="Arial" w:cs="Arial"/>
          <w:b/>
          <w:bCs/>
        </w:rPr>
        <w:t xml:space="preserve">ialogue: </w:t>
      </w:r>
      <w:r w:rsidR="0051202C" w:rsidRPr="00CC5C37">
        <w:rPr>
          <w:rFonts w:ascii="Arial" w:hAnsi="Arial" w:cs="Arial"/>
          <w:b/>
          <w:bCs/>
        </w:rPr>
        <w:t xml:space="preserve">Effective </w:t>
      </w:r>
      <w:r w:rsidR="00627530" w:rsidRPr="00CC5C37">
        <w:rPr>
          <w:rFonts w:ascii="Arial" w:hAnsi="Arial" w:cs="Arial"/>
          <w:b/>
          <w:bCs/>
        </w:rPr>
        <w:t>P</w:t>
      </w:r>
      <w:r w:rsidR="0051202C" w:rsidRPr="00CC5C37">
        <w:rPr>
          <w:rFonts w:ascii="Arial" w:hAnsi="Arial" w:cs="Arial"/>
          <w:b/>
          <w:bCs/>
        </w:rPr>
        <w:t>artnerships</w:t>
      </w:r>
      <w:r w:rsidR="00431D4C" w:rsidRPr="00CC5C37">
        <w:rPr>
          <w:rFonts w:ascii="Arial" w:hAnsi="Arial" w:cs="Arial"/>
          <w:b/>
          <w:bCs/>
        </w:rPr>
        <w:t xml:space="preserve"> to Unlock Tourism Investments </w:t>
      </w:r>
    </w:p>
    <w:p w14:paraId="5AA91D76" w14:textId="0219ED14" w:rsidR="00AC37F7" w:rsidRDefault="00D60C17" w:rsidP="00A26631">
      <w:pPr>
        <w:pBdr>
          <w:top w:val="single" w:sz="4" w:space="1" w:color="auto"/>
          <w:left w:val="single" w:sz="4" w:space="4" w:color="auto"/>
          <w:bottom w:val="single" w:sz="4" w:space="1" w:color="auto"/>
          <w:right w:val="single" w:sz="4" w:space="4" w:color="auto"/>
        </w:pBdr>
        <w:ind w:left="2160"/>
        <w:jc w:val="both"/>
        <w:rPr>
          <w:rFonts w:ascii="Arial" w:hAnsi="Arial" w:cs="Arial"/>
        </w:rPr>
      </w:pPr>
      <w:r w:rsidRPr="00CC5C37">
        <w:rPr>
          <w:rFonts w:ascii="Arial" w:hAnsi="Arial" w:cs="Arial"/>
        </w:rPr>
        <w:t>Realizing tourism’s full potential requires substantial investment and strategic partnerships. The public sector plays a crucial role in creating an enabling environment for tourism investments, while the private sector brings in capital, innovation, and operational expertise. The session aims to foster a collaborative environment where both sectors can synergize their efforts to drive the growth of the tourism sector. By leveraging the strengths of both public and private sectors, the session seeks to unlock the full potential of tourism investments, ensuring sustainable and inclusive economic development.</w:t>
      </w:r>
    </w:p>
    <w:p w14:paraId="446E7094" w14:textId="7CBBACC4" w:rsidR="00A26631" w:rsidRDefault="00F418BE" w:rsidP="00F418BE">
      <w:pPr>
        <w:ind w:left="4320" w:hanging="2160"/>
        <w:jc w:val="both"/>
        <w:rPr>
          <w:rFonts w:ascii="Arial" w:hAnsi="Arial" w:cs="Arial"/>
        </w:rPr>
      </w:pPr>
      <w:r>
        <w:rPr>
          <w:rFonts w:ascii="Arial" w:hAnsi="Arial" w:cs="Arial"/>
        </w:rPr>
        <w:t xml:space="preserve">Moderator: </w:t>
      </w:r>
    </w:p>
    <w:p w14:paraId="25DA8895" w14:textId="243BE976" w:rsidR="00F418BE" w:rsidRDefault="00F418BE" w:rsidP="00F418BE">
      <w:pPr>
        <w:ind w:left="4320" w:hanging="2160"/>
        <w:jc w:val="both"/>
        <w:rPr>
          <w:rFonts w:ascii="Arial" w:hAnsi="Arial" w:cs="Arial"/>
        </w:rPr>
      </w:pPr>
      <w:r>
        <w:rPr>
          <w:rFonts w:ascii="Arial" w:hAnsi="Arial" w:cs="Arial"/>
        </w:rPr>
        <w:t>Speakers:</w:t>
      </w:r>
    </w:p>
    <w:p w14:paraId="6F7357D6" w14:textId="0A8063BA" w:rsidR="00BE5729" w:rsidRPr="00C91862" w:rsidRDefault="00BE5729" w:rsidP="00093F22">
      <w:pPr>
        <w:ind w:left="2127"/>
        <w:jc w:val="both"/>
        <w:rPr>
          <w:rFonts w:ascii="Arial" w:hAnsi="Arial" w:cs="Arial"/>
          <w:b/>
          <w:bCs/>
        </w:rPr>
      </w:pPr>
      <w:r w:rsidRPr="00C91862">
        <w:rPr>
          <w:rFonts w:ascii="Arial" w:hAnsi="Arial" w:cs="Arial"/>
          <w:b/>
          <w:bCs/>
        </w:rPr>
        <w:t>Mr. Javier De Villanueva, Regional Manager for Europe, Banyan Tree</w:t>
      </w:r>
    </w:p>
    <w:p w14:paraId="1473F2DC" w14:textId="18C22F25" w:rsidR="00B83F1B" w:rsidRPr="00B83F1B" w:rsidRDefault="00B83F1B" w:rsidP="00093F22">
      <w:pPr>
        <w:ind w:left="2127"/>
        <w:jc w:val="both"/>
        <w:rPr>
          <w:rFonts w:ascii="Arial" w:hAnsi="Arial" w:cs="Arial"/>
          <w:b/>
          <w:bCs/>
        </w:rPr>
      </w:pPr>
      <w:r w:rsidRPr="00B83F1B">
        <w:rPr>
          <w:rFonts w:ascii="Arial" w:hAnsi="Arial" w:cs="Arial"/>
          <w:b/>
          <w:bCs/>
        </w:rPr>
        <w:t xml:space="preserve">Mr. Ko Sakamoto, Country </w:t>
      </w:r>
      <w:r w:rsidR="00372F4F" w:rsidRPr="00B83F1B">
        <w:rPr>
          <w:rFonts w:ascii="Arial" w:hAnsi="Arial" w:cs="Arial"/>
          <w:b/>
          <w:bCs/>
        </w:rPr>
        <w:t>Director</w:t>
      </w:r>
      <w:r w:rsidRPr="00B83F1B">
        <w:rPr>
          <w:rFonts w:ascii="Arial" w:hAnsi="Arial" w:cs="Arial"/>
          <w:b/>
          <w:bCs/>
        </w:rPr>
        <w:t xml:space="preserve">, </w:t>
      </w:r>
      <w:r>
        <w:rPr>
          <w:rFonts w:ascii="Arial" w:hAnsi="Arial" w:cs="Arial"/>
          <w:b/>
          <w:bCs/>
        </w:rPr>
        <w:t>Asian Development Bank, (</w:t>
      </w:r>
      <w:r w:rsidRPr="00B83F1B">
        <w:rPr>
          <w:rFonts w:ascii="Arial" w:hAnsi="Arial" w:cs="Arial"/>
          <w:b/>
          <w:bCs/>
        </w:rPr>
        <w:t>ADB</w:t>
      </w:r>
      <w:r>
        <w:rPr>
          <w:rFonts w:ascii="Arial" w:hAnsi="Arial" w:cs="Arial"/>
          <w:b/>
          <w:bCs/>
        </w:rPr>
        <w:t>)</w:t>
      </w:r>
    </w:p>
    <w:p w14:paraId="2A143BAF" w14:textId="2CA816BD" w:rsidR="00093F22" w:rsidRDefault="00093F22" w:rsidP="00093F22">
      <w:pPr>
        <w:ind w:left="2160" w:hanging="33"/>
        <w:jc w:val="both"/>
        <w:rPr>
          <w:rFonts w:ascii="Arial" w:hAnsi="Arial" w:cs="Arial"/>
          <w:b/>
          <w:bCs/>
        </w:rPr>
      </w:pPr>
      <w:r w:rsidRPr="00093F22">
        <w:rPr>
          <w:rFonts w:ascii="Arial" w:hAnsi="Arial" w:cs="Arial"/>
          <w:b/>
          <w:bCs/>
        </w:rPr>
        <w:t xml:space="preserve">Mr. </w:t>
      </w:r>
      <w:r w:rsidR="00E76032" w:rsidRPr="00E76032">
        <w:rPr>
          <w:rFonts w:ascii="Arial" w:hAnsi="Arial" w:cs="Arial"/>
          <w:b/>
          <w:bCs/>
        </w:rPr>
        <w:t xml:space="preserve">Wiefel, Holger, Country </w:t>
      </w:r>
      <w:r w:rsidR="00E2687C" w:rsidRPr="00E76032">
        <w:rPr>
          <w:rFonts w:ascii="Arial" w:hAnsi="Arial" w:cs="Arial"/>
          <w:b/>
          <w:bCs/>
        </w:rPr>
        <w:t>Director</w:t>
      </w:r>
      <w:r w:rsidRPr="00093F22">
        <w:rPr>
          <w:rFonts w:ascii="Arial" w:hAnsi="Arial" w:cs="Arial"/>
          <w:b/>
          <w:bCs/>
        </w:rPr>
        <w:t>,</w:t>
      </w:r>
      <w:r w:rsidR="0045103D">
        <w:rPr>
          <w:rFonts w:ascii="Arial" w:hAnsi="Arial" w:cs="Arial"/>
          <w:b/>
          <w:bCs/>
        </w:rPr>
        <w:t xml:space="preserve"> </w:t>
      </w:r>
      <w:r w:rsidR="0045103D" w:rsidRPr="0045103D">
        <w:rPr>
          <w:rFonts w:ascii="Arial" w:hAnsi="Arial" w:cs="Arial"/>
          <w:b/>
          <w:bCs/>
        </w:rPr>
        <w:t>European Bank for Reconstruction and Development</w:t>
      </w:r>
      <w:r w:rsidRPr="00093F22">
        <w:rPr>
          <w:rFonts w:ascii="Arial" w:hAnsi="Arial" w:cs="Arial"/>
          <w:b/>
          <w:bCs/>
        </w:rPr>
        <w:t xml:space="preserve"> </w:t>
      </w:r>
      <w:r w:rsidR="0045103D">
        <w:rPr>
          <w:rFonts w:ascii="Arial" w:hAnsi="Arial" w:cs="Arial"/>
          <w:b/>
          <w:bCs/>
        </w:rPr>
        <w:t>(</w:t>
      </w:r>
      <w:r w:rsidRPr="00093F22">
        <w:rPr>
          <w:rFonts w:ascii="Arial" w:hAnsi="Arial" w:cs="Arial"/>
          <w:b/>
          <w:bCs/>
        </w:rPr>
        <w:t>EBRD</w:t>
      </w:r>
      <w:r w:rsidR="0045103D">
        <w:rPr>
          <w:rFonts w:ascii="Arial" w:hAnsi="Arial" w:cs="Arial"/>
          <w:b/>
          <w:bCs/>
        </w:rPr>
        <w:t>)</w:t>
      </w:r>
    </w:p>
    <w:p w14:paraId="65B0ABD1" w14:textId="77777777" w:rsidR="00093F22" w:rsidRDefault="00093F22" w:rsidP="00093F22">
      <w:pPr>
        <w:ind w:left="2160" w:hanging="33"/>
        <w:jc w:val="both"/>
        <w:rPr>
          <w:rFonts w:ascii="Arial" w:hAnsi="Arial" w:cs="Arial"/>
          <w:b/>
          <w:bCs/>
        </w:rPr>
      </w:pPr>
    </w:p>
    <w:p w14:paraId="30E4D2CD" w14:textId="77777777" w:rsidR="00F53033" w:rsidRDefault="00F53033" w:rsidP="00093F22">
      <w:pPr>
        <w:ind w:left="2160" w:hanging="33"/>
        <w:jc w:val="both"/>
        <w:rPr>
          <w:rFonts w:ascii="Arial" w:hAnsi="Arial" w:cs="Arial"/>
          <w:b/>
          <w:bCs/>
        </w:rPr>
      </w:pPr>
    </w:p>
    <w:p w14:paraId="727F7867" w14:textId="77777777" w:rsidR="00F53033" w:rsidRDefault="00F53033" w:rsidP="00093F22">
      <w:pPr>
        <w:ind w:left="2160" w:hanging="33"/>
        <w:jc w:val="both"/>
        <w:rPr>
          <w:rFonts w:ascii="Arial" w:hAnsi="Arial" w:cs="Arial"/>
          <w:b/>
          <w:bCs/>
        </w:rPr>
      </w:pPr>
    </w:p>
    <w:p w14:paraId="1F7CEFF5" w14:textId="77777777" w:rsidR="00F53033" w:rsidRPr="00093F22" w:rsidRDefault="00F53033" w:rsidP="000D7F04">
      <w:pPr>
        <w:jc w:val="both"/>
        <w:rPr>
          <w:rFonts w:ascii="Arial" w:hAnsi="Arial" w:cs="Arial"/>
          <w:b/>
          <w:bCs/>
        </w:rPr>
      </w:pPr>
    </w:p>
    <w:p w14:paraId="1340D69A" w14:textId="08045A98" w:rsidR="003B5316" w:rsidRPr="00CC5C37" w:rsidRDefault="002A4A8B" w:rsidP="003B5316">
      <w:pPr>
        <w:ind w:left="2160" w:hanging="2160"/>
        <w:jc w:val="both"/>
        <w:rPr>
          <w:rFonts w:ascii="Arial" w:hAnsi="Arial" w:cs="Arial"/>
          <w:b/>
          <w:bCs/>
        </w:rPr>
      </w:pPr>
      <w:r w:rsidRPr="00CC5C37">
        <w:rPr>
          <w:rFonts w:ascii="Arial" w:hAnsi="Arial" w:cs="Arial"/>
        </w:rPr>
        <w:t>1</w:t>
      </w:r>
      <w:r w:rsidR="00AC37F7">
        <w:rPr>
          <w:rFonts w:ascii="Arial" w:hAnsi="Arial" w:cs="Arial"/>
        </w:rPr>
        <w:t>2:00</w:t>
      </w:r>
      <w:r w:rsidRPr="00CC5C37">
        <w:rPr>
          <w:rFonts w:ascii="Arial" w:hAnsi="Arial" w:cs="Arial"/>
        </w:rPr>
        <w:t xml:space="preserve"> – 12:</w:t>
      </w:r>
      <w:r w:rsidR="00AC37F7">
        <w:rPr>
          <w:rFonts w:ascii="Arial" w:hAnsi="Arial" w:cs="Arial"/>
        </w:rPr>
        <w:t>30</w:t>
      </w:r>
      <w:r w:rsidRPr="00CC5C37">
        <w:rPr>
          <w:rFonts w:ascii="Arial" w:hAnsi="Arial" w:cs="Arial"/>
        </w:rPr>
        <w:tab/>
      </w:r>
      <w:r w:rsidR="002C35EE" w:rsidRPr="00CC5C37">
        <w:rPr>
          <w:rFonts w:ascii="Arial" w:hAnsi="Arial" w:cs="Arial"/>
          <w:b/>
          <w:bCs/>
        </w:rPr>
        <w:t>Fireside chat:</w:t>
      </w:r>
      <w:r w:rsidR="002C35EE" w:rsidRPr="00CC5C37">
        <w:rPr>
          <w:rFonts w:ascii="Arial" w:hAnsi="Arial" w:cs="Arial"/>
        </w:rPr>
        <w:t xml:space="preserve"> </w:t>
      </w:r>
      <w:r w:rsidR="002C35EE" w:rsidRPr="00CC5C37">
        <w:rPr>
          <w:rFonts w:ascii="Arial" w:hAnsi="Arial" w:cs="Arial"/>
          <w:b/>
          <w:bCs/>
        </w:rPr>
        <w:t xml:space="preserve">The </w:t>
      </w:r>
      <w:r w:rsidR="008125F5">
        <w:rPr>
          <w:rFonts w:ascii="Arial" w:hAnsi="Arial" w:cs="Arial"/>
          <w:b/>
          <w:bCs/>
        </w:rPr>
        <w:t>I</w:t>
      </w:r>
      <w:r w:rsidR="002C35EE" w:rsidRPr="00CC5C37">
        <w:rPr>
          <w:rFonts w:ascii="Arial" w:hAnsi="Arial" w:cs="Arial"/>
          <w:b/>
          <w:bCs/>
        </w:rPr>
        <w:t xml:space="preserve">nvestors </w:t>
      </w:r>
      <w:r w:rsidR="008125F5">
        <w:rPr>
          <w:rFonts w:ascii="Arial" w:hAnsi="Arial" w:cs="Arial"/>
          <w:b/>
          <w:bCs/>
        </w:rPr>
        <w:t>M</w:t>
      </w:r>
      <w:r w:rsidR="002C35EE" w:rsidRPr="00CC5C37">
        <w:rPr>
          <w:rFonts w:ascii="Arial" w:hAnsi="Arial" w:cs="Arial"/>
          <w:b/>
          <w:bCs/>
        </w:rPr>
        <w:t xml:space="preserve">ind: </w:t>
      </w:r>
      <w:r w:rsidR="003B5316" w:rsidRPr="00CC5C37">
        <w:rPr>
          <w:rFonts w:ascii="Arial" w:hAnsi="Arial" w:cs="Arial"/>
          <w:b/>
          <w:bCs/>
        </w:rPr>
        <w:t>The Pulse of Global Investment: What Attracts International Investments?</w:t>
      </w:r>
    </w:p>
    <w:p w14:paraId="1F44E0B8" w14:textId="50D18C1B" w:rsidR="00AC37F7" w:rsidRDefault="00CC5C37" w:rsidP="004226C5">
      <w:pPr>
        <w:pBdr>
          <w:top w:val="single" w:sz="4" w:space="1" w:color="auto"/>
          <w:left w:val="single" w:sz="4" w:space="4" w:color="auto"/>
          <w:bottom w:val="single" w:sz="4" w:space="1" w:color="auto"/>
          <w:right w:val="single" w:sz="4" w:space="4" w:color="auto"/>
        </w:pBdr>
        <w:ind w:left="2160"/>
        <w:jc w:val="both"/>
        <w:rPr>
          <w:rFonts w:ascii="Arial" w:hAnsi="Arial" w:cs="Arial"/>
        </w:rPr>
      </w:pPr>
      <w:r w:rsidRPr="00CC5C37">
        <w:rPr>
          <w:rFonts w:ascii="Arial" w:hAnsi="Arial" w:cs="Arial"/>
        </w:rPr>
        <w:t>The</w:t>
      </w:r>
      <w:r w:rsidR="000C6E32" w:rsidRPr="00CC5C37">
        <w:rPr>
          <w:rFonts w:ascii="Arial" w:hAnsi="Arial" w:cs="Arial"/>
        </w:rPr>
        <w:t xml:space="preserve"> session </w:t>
      </w:r>
      <w:r w:rsidRPr="00CC5C37">
        <w:rPr>
          <w:rFonts w:ascii="Arial" w:hAnsi="Arial" w:cs="Arial"/>
        </w:rPr>
        <w:t xml:space="preserve">will bring together </w:t>
      </w:r>
      <w:r w:rsidR="000C6E32" w:rsidRPr="00CC5C37">
        <w:rPr>
          <w:rFonts w:ascii="Arial" w:hAnsi="Arial" w:cs="Arial"/>
        </w:rPr>
        <w:t xml:space="preserve">high-profile investors and industry experts </w:t>
      </w:r>
      <w:r w:rsidRPr="00CC5C37">
        <w:rPr>
          <w:rFonts w:ascii="Arial" w:hAnsi="Arial" w:cs="Arial"/>
        </w:rPr>
        <w:t xml:space="preserve">to </w:t>
      </w:r>
      <w:r w:rsidR="000C6E32" w:rsidRPr="00CC5C37">
        <w:rPr>
          <w:rFonts w:ascii="Arial" w:hAnsi="Arial" w:cs="Arial"/>
        </w:rPr>
        <w:t xml:space="preserve">delve into the nuances of global investment trends. This session will explore the critical factors that attract international investments, and will offer insights into the investor's mindset, understand the key drivers behind investment decisions, and learn how different regions and sectors are positioning themselves to attract global capital. </w:t>
      </w:r>
    </w:p>
    <w:p w14:paraId="61AE702E" w14:textId="77777777" w:rsidR="00134E57" w:rsidRDefault="00134E57" w:rsidP="00A26631">
      <w:pPr>
        <w:jc w:val="both"/>
        <w:rPr>
          <w:rFonts w:ascii="Arial" w:hAnsi="Arial" w:cs="Arial"/>
        </w:rPr>
      </w:pPr>
    </w:p>
    <w:p w14:paraId="232E8A55" w14:textId="6D038218" w:rsidR="00885013" w:rsidRPr="00CC5C37" w:rsidRDefault="0051202C" w:rsidP="00885013">
      <w:pPr>
        <w:ind w:left="2160" w:hanging="2160"/>
        <w:jc w:val="both"/>
        <w:rPr>
          <w:rFonts w:ascii="Arial" w:hAnsi="Arial" w:cs="Arial"/>
          <w:b/>
          <w:bCs/>
        </w:rPr>
      </w:pPr>
      <w:r w:rsidRPr="00CC5C37">
        <w:rPr>
          <w:rFonts w:ascii="Arial" w:hAnsi="Arial" w:cs="Arial"/>
        </w:rPr>
        <w:t>1</w:t>
      </w:r>
      <w:r w:rsidR="00AC37F7">
        <w:rPr>
          <w:rFonts w:ascii="Arial" w:hAnsi="Arial" w:cs="Arial"/>
        </w:rPr>
        <w:t>2</w:t>
      </w:r>
      <w:r w:rsidRPr="00CC5C37">
        <w:rPr>
          <w:rFonts w:ascii="Arial" w:hAnsi="Arial" w:cs="Arial"/>
        </w:rPr>
        <w:t>:30 – 1</w:t>
      </w:r>
      <w:r w:rsidR="00AC37F7">
        <w:rPr>
          <w:rFonts w:ascii="Arial" w:hAnsi="Arial" w:cs="Arial"/>
        </w:rPr>
        <w:t>3:00</w:t>
      </w:r>
      <w:r w:rsidRPr="00CC5C37">
        <w:rPr>
          <w:rFonts w:ascii="Arial" w:hAnsi="Arial" w:cs="Arial"/>
        </w:rPr>
        <w:tab/>
      </w:r>
      <w:r w:rsidR="00885013" w:rsidRPr="00CC5C37">
        <w:rPr>
          <w:rFonts w:ascii="Arial" w:hAnsi="Arial" w:cs="Arial"/>
          <w:b/>
          <w:bCs/>
        </w:rPr>
        <w:t>UN Tourism – WAIPA’ Partner Session</w:t>
      </w:r>
      <w:r w:rsidR="00885013" w:rsidRPr="00CC5C37">
        <w:rPr>
          <w:rFonts w:ascii="Arial" w:hAnsi="Arial" w:cs="Arial"/>
        </w:rPr>
        <w:t>: “</w:t>
      </w:r>
      <w:r w:rsidR="00885013" w:rsidRPr="00CC5C37">
        <w:rPr>
          <w:rFonts w:ascii="Arial" w:hAnsi="Arial" w:cs="Arial"/>
          <w:b/>
          <w:bCs/>
        </w:rPr>
        <w:t xml:space="preserve">Catalysts for Growth: The Role of Investment Promotion Agencies </w:t>
      </w:r>
      <w:r w:rsidR="006445A0">
        <w:rPr>
          <w:rFonts w:ascii="Arial" w:hAnsi="Arial" w:cs="Arial"/>
          <w:b/>
          <w:bCs/>
        </w:rPr>
        <w:t xml:space="preserve">and Free Zones </w:t>
      </w:r>
      <w:r w:rsidR="00885013" w:rsidRPr="00CC5C37">
        <w:rPr>
          <w:rFonts w:ascii="Arial" w:hAnsi="Arial" w:cs="Arial"/>
          <w:b/>
          <w:bCs/>
        </w:rPr>
        <w:t>in Attracting Tourism Investments"</w:t>
      </w:r>
    </w:p>
    <w:p w14:paraId="6D6C6342" w14:textId="4548CFA6" w:rsidR="00134E57" w:rsidRDefault="00885013" w:rsidP="00D836AB">
      <w:pPr>
        <w:pBdr>
          <w:top w:val="single" w:sz="4" w:space="1" w:color="auto"/>
          <w:left w:val="single" w:sz="4" w:space="4" w:color="auto"/>
          <w:bottom w:val="single" w:sz="4" w:space="1" w:color="auto"/>
          <w:right w:val="single" w:sz="4" w:space="4" w:color="auto"/>
        </w:pBdr>
        <w:ind w:left="2160"/>
        <w:jc w:val="both"/>
        <w:rPr>
          <w:rFonts w:ascii="Arial" w:hAnsi="Arial" w:cs="Arial"/>
        </w:rPr>
      </w:pPr>
      <w:r w:rsidRPr="00CC5C37">
        <w:rPr>
          <w:rFonts w:ascii="Arial" w:hAnsi="Arial" w:cs="Arial"/>
        </w:rPr>
        <w:t xml:space="preserve">Attracting substantial tourism investments requires overcoming various challenges and leveraging key enablers. Investment Promotion Agencies (IPAs) </w:t>
      </w:r>
      <w:r w:rsidR="00406919">
        <w:rPr>
          <w:rFonts w:ascii="Arial" w:hAnsi="Arial" w:cs="Arial"/>
        </w:rPr>
        <w:t xml:space="preserve">and Free Zones </w:t>
      </w:r>
      <w:r w:rsidRPr="00CC5C37">
        <w:rPr>
          <w:rFonts w:ascii="Arial" w:hAnsi="Arial" w:cs="Arial"/>
        </w:rPr>
        <w:t xml:space="preserve">play a crucial role in this process by facilitating investments, providing essential support, and creating conducive environments for tourism development. </w:t>
      </w:r>
      <w:r w:rsidR="00A10679" w:rsidRPr="00A10679">
        <w:rPr>
          <w:rFonts w:ascii="Arial" w:hAnsi="Arial" w:cs="Arial"/>
        </w:rPr>
        <w:t>Th</w:t>
      </w:r>
      <w:r w:rsidR="00D836AB">
        <w:rPr>
          <w:rFonts w:ascii="Arial" w:hAnsi="Arial" w:cs="Arial"/>
        </w:rPr>
        <w:t>e</w:t>
      </w:r>
      <w:r w:rsidR="00A10679" w:rsidRPr="00A10679">
        <w:rPr>
          <w:rFonts w:ascii="Arial" w:hAnsi="Arial" w:cs="Arial"/>
        </w:rPr>
        <w:t xml:space="preserve"> session aims </w:t>
      </w:r>
      <w:r w:rsidR="00D836AB" w:rsidRPr="00CC5C37">
        <w:rPr>
          <w:rFonts w:ascii="Arial" w:hAnsi="Arial" w:cs="Arial"/>
        </w:rPr>
        <w:t>to facilitate the sharing of insights, discussion of strategies, and best practices</w:t>
      </w:r>
      <w:r w:rsidR="00D836AB">
        <w:rPr>
          <w:rFonts w:ascii="Arial" w:hAnsi="Arial" w:cs="Arial"/>
        </w:rPr>
        <w:t xml:space="preserve"> and </w:t>
      </w:r>
      <w:r w:rsidR="00A10679" w:rsidRPr="00A10679">
        <w:rPr>
          <w:rFonts w:ascii="Arial" w:hAnsi="Arial" w:cs="Arial"/>
        </w:rPr>
        <w:t>to explore how IPAs and Free Zones can jointly act as catalysts for tourism investment.</w:t>
      </w:r>
    </w:p>
    <w:p w14:paraId="66EE5CAD" w14:textId="78978E52" w:rsidR="003C3D22" w:rsidRPr="00A93193" w:rsidRDefault="003C3D22" w:rsidP="004025BD">
      <w:pPr>
        <w:ind w:left="2160" w:hanging="2160"/>
        <w:jc w:val="both"/>
        <w:rPr>
          <w:rFonts w:ascii="Arial" w:hAnsi="Arial" w:cs="Arial"/>
          <w:b/>
          <w:bCs/>
        </w:rPr>
      </w:pPr>
      <w:r>
        <w:rPr>
          <w:rFonts w:ascii="Arial" w:hAnsi="Arial" w:cs="Arial"/>
        </w:rPr>
        <w:tab/>
        <w:t>Moderator:</w:t>
      </w:r>
      <w:r w:rsidR="00F6522C">
        <w:rPr>
          <w:rFonts w:ascii="Arial" w:hAnsi="Arial" w:cs="Arial"/>
        </w:rPr>
        <w:t xml:space="preserve"> </w:t>
      </w:r>
      <w:r w:rsidR="00A93193" w:rsidRPr="00A93193">
        <w:rPr>
          <w:rFonts w:ascii="Arial" w:hAnsi="Arial" w:cs="Arial"/>
          <w:b/>
          <w:bCs/>
        </w:rPr>
        <w:t xml:space="preserve">Mr. Dushyant Thakor, </w:t>
      </w:r>
      <w:r w:rsidR="004025BD" w:rsidRPr="00A93193">
        <w:rPr>
          <w:rFonts w:ascii="Arial" w:hAnsi="Arial" w:cs="Arial"/>
          <w:b/>
          <w:bCs/>
        </w:rPr>
        <w:t xml:space="preserve">Deputy Executive Director, Worldwide Investment Promotion Agencies, </w:t>
      </w:r>
      <w:r w:rsidR="00F6522C" w:rsidRPr="00A93193">
        <w:rPr>
          <w:rFonts w:ascii="Arial" w:hAnsi="Arial" w:cs="Arial"/>
          <w:b/>
          <w:bCs/>
        </w:rPr>
        <w:t xml:space="preserve">(WAIPA) </w:t>
      </w:r>
    </w:p>
    <w:p w14:paraId="29A97BB0" w14:textId="503EFAC3" w:rsidR="003C3D22" w:rsidRDefault="003C3D22" w:rsidP="003C3D22">
      <w:pPr>
        <w:ind w:left="2160"/>
        <w:jc w:val="both"/>
        <w:rPr>
          <w:rFonts w:ascii="Arial" w:hAnsi="Arial" w:cs="Arial"/>
        </w:rPr>
      </w:pPr>
      <w:r>
        <w:rPr>
          <w:rFonts w:ascii="Arial" w:hAnsi="Arial" w:cs="Arial"/>
        </w:rPr>
        <w:t xml:space="preserve">Speakers </w:t>
      </w:r>
    </w:p>
    <w:p w14:paraId="3E36B7D9" w14:textId="62DDBDB4" w:rsidR="003C3D22" w:rsidRDefault="003C3D22" w:rsidP="003C3D22">
      <w:pPr>
        <w:ind w:left="2160"/>
        <w:jc w:val="both"/>
        <w:rPr>
          <w:rFonts w:ascii="Arial" w:hAnsi="Arial" w:cs="Arial"/>
          <w:b/>
          <w:bCs/>
        </w:rPr>
      </w:pPr>
      <w:r w:rsidRPr="003C3D22">
        <w:rPr>
          <w:rFonts w:ascii="Arial" w:hAnsi="Arial" w:cs="Arial"/>
          <w:b/>
          <w:bCs/>
        </w:rPr>
        <w:t xml:space="preserve">Mr. Yerbol </w:t>
      </w:r>
      <w:proofErr w:type="spellStart"/>
      <w:r w:rsidRPr="003C3D22">
        <w:rPr>
          <w:rFonts w:ascii="Arial" w:hAnsi="Arial" w:cs="Arial"/>
          <w:b/>
          <w:bCs/>
        </w:rPr>
        <w:t>Bukharbayevv</w:t>
      </w:r>
      <w:proofErr w:type="spellEnd"/>
      <w:r w:rsidRPr="003C3D22">
        <w:rPr>
          <w:rFonts w:ascii="Arial" w:hAnsi="Arial" w:cs="Arial"/>
          <w:b/>
          <w:bCs/>
        </w:rPr>
        <w:t xml:space="preserve"> Head of Regional Office for Central Asia of the Free Zones Organization</w:t>
      </w:r>
    </w:p>
    <w:p w14:paraId="2E171D89" w14:textId="17FED843" w:rsidR="003C3D22" w:rsidRPr="00210674" w:rsidRDefault="00FD1462" w:rsidP="00210674">
      <w:pPr>
        <w:ind w:left="2160"/>
        <w:jc w:val="both"/>
        <w:rPr>
          <w:rFonts w:ascii="Arial" w:hAnsi="Arial" w:cs="Arial"/>
          <w:lang w:val="es-ES"/>
        </w:rPr>
      </w:pPr>
      <w:r w:rsidRPr="00EF743C">
        <w:rPr>
          <w:rFonts w:ascii="Arial" w:hAnsi="Arial" w:cs="Arial"/>
          <w:b/>
          <w:bCs/>
          <w:highlight w:val="cyan"/>
        </w:rPr>
        <w:t xml:space="preserve">Representative from Ministry of Economic and Trade of Tajikistan (TBC) – </w:t>
      </w:r>
      <w:r w:rsidRPr="00EF743C">
        <w:rPr>
          <w:rFonts w:ascii="Arial" w:hAnsi="Arial" w:cs="Arial"/>
          <w:highlight w:val="cyan"/>
        </w:rPr>
        <w:t>Insights into the Free Economic Zones of Tajikistan, their role in fostering investment, providing tax incentives, and creating a conducive environment for tourism sector growth.</w:t>
      </w:r>
    </w:p>
    <w:p w14:paraId="065CCBCC" w14:textId="616656A7" w:rsidR="00885013" w:rsidRPr="00CC5C37" w:rsidRDefault="0051202C" w:rsidP="00885013">
      <w:pPr>
        <w:ind w:left="2160" w:hanging="2160"/>
        <w:jc w:val="both"/>
        <w:rPr>
          <w:rFonts w:ascii="Arial" w:hAnsi="Arial" w:cs="Arial"/>
          <w:b/>
          <w:bCs/>
        </w:rPr>
      </w:pPr>
      <w:r w:rsidRPr="00CC5C37">
        <w:rPr>
          <w:rFonts w:ascii="Arial" w:hAnsi="Arial" w:cs="Arial"/>
        </w:rPr>
        <w:t>1</w:t>
      </w:r>
      <w:r w:rsidR="00AC37F7">
        <w:rPr>
          <w:rFonts w:ascii="Arial" w:hAnsi="Arial" w:cs="Arial"/>
        </w:rPr>
        <w:t>3:00 – 13:45</w:t>
      </w:r>
      <w:r w:rsidR="00AC37F7">
        <w:rPr>
          <w:rFonts w:ascii="Arial" w:hAnsi="Arial" w:cs="Arial"/>
        </w:rPr>
        <w:tab/>
      </w:r>
      <w:r w:rsidR="00885013" w:rsidRPr="00CC5C37">
        <w:rPr>
          <w:rFonts w:ascii="Arial" w:hAnsi="Arial" w:cs="Arial"/>
          <w:b/>
          <w:bCs/>
        </w:rPr>
        <w:t xml:space="preserve">Investment Session: </w:t>
      </w:r>
      <w:r w:rsidR="00885013">
        <w:rPr>
          <w:rFonts w:ascii="Arial" w:hAnsi="Arial" w:cs="Arial"/>
          <w:b/>
          <w:bCs/>
        </w:rPr>
        <w:t>Healing Highlands</w:t>
      </w:r>
      <w:r w:rsidR="00885013" w:rsidRPr="00CC5C37">
        <w:rPr>
          <w:rFonts w:ascii="Arial" w:hAnsi="Arial" w:cs="Arial"/>
          <w:b/>
          <w:bCs/>
        </w:rPr>
        <w:t>: Investment Opportunities in Mountain</w:t>
      </w:r>
      <w:r w:rsidR="00885013">
        <w:rPr>
          <w:rFonts w:ascii="Arial" w:hAnsi="Arial" w:cs="Arial"/>
          <w:b/>
          <w:bCs/>
        </w:rPr>
        <w:t xml:space="preserve">, </w:t>
      </w:r>
      <w:r w:rsidR="00885013" w:rsidRPr="00885013">
        <w:rPr>
          <w:rFonts w:ascii="Arial" w:hAnsi="Arial" w:cs="Arial"/>
          <w:b/>
          <w:bCs/>
        </w:rPr>
        <w:t>Health and Wellness Tourism</w:t>
      </w:r>
    </w:p>
    <w:p w14:paraId="15D3B620" w14:textId="179D19DB" w:rsidR="00885013" w:rsidRDefault="008A4D08" w:rsidP="00885013">
      <w:pPr>
        <w:pBdr>
          <w:top w:val="single" w:sz="4" w:space="1" w:color="auto"/>
          <w:left w:val="single" w:sz="4" w:space="4" w:color="auto"/>
          <w:bottom w:val="single" w:sz="4" w:space="1" w:color="auto"/>
          <w:right w:val="single" w:sz="4" w:space="4" w:color="auto"/>
        </w:pBdr>
        <w:ind w:left="2160"/>
        <w:jc w:val="both"/>
        <w:rPr>
          <w:rFonts w:ascii="Arial" w:hAnsi="Arial" w:cs="Arial"/>
        </w:rPr>
      </w:pPr>
      <w:r>
        <w:rPr>
          <w:rFonts w:ascii="Arial" w:hAnsi="Arial" w:cs="Arial"/>
        </w:rPr>
        <w:t xml:space="preserve">Mountain tourism and health and wellness tourism are growing segments of the global tourism sector, offering opportunities for investment and development. </w:t>
      </w:r>
      <w:r w:rsidRPr="008A4D08">
        <w:rPr>
          <w:rFonts w:ascii="Arial" w:hAnsi="Arial" w:cs="Arial"/>
        </w:rPr>
        <w:t>Mountain tourism has the potential to support rural development, create jobs, generate revenue, and raise the global profile of destinations, yet it remains underdeveloped due to limited investment and strategic planning. Health and wellness tourism has also seen significant growth, giving destinations the chance to diversify, address seasonality, and extend economic benefits to rural communities. This session will present a strategic framework to unlock these opportunities by focusing on building wellness and medical facilities, developing comprehensive tourism packages, and improving rural infrastructure. With targeted investments and innovation, these regions can develop economically, socially, and environmentally while capturing the benefits of these expanding markets.</w:t>
      </w:r>
    </w:p>
    <w:p w14:paraId="7AFA7755" w14:textId="77777777" w:rsidR="00210674" w:rsidRDefault="00885013" w:rsidP="004226C5">
      <w:pPr>
        <w:ind w:left="2160" w:hanging="2160"/>
        <w:jc w:val="both"/>
        <w:rPr>
          <w:rFonts w:ascii="Arial" w:hAnsi="Arial" w:cs="Arial"/>
        </w:rPr>
      </w:pPr>
      <w:r>
        <w:rPr>
          <w:rFonts w:ascii="Arial" w:hAnsi="Arial" w:cs="Arial"/>
        </w:rPr>
        <w:tab/>
      </w:r>
    </w:p>
    <w:p w14:paraId="34F62D6B" w14:textId="26BB500B" w:rsidR="00CC5C37" w:rsidRPr="00A85843" w:rsidRDefault="00814FD8" w:rsidP="00210674">
      <w:pPr>
        <w:ind w:left="2160"/>
        <w:jc w:val="both"/>
        <w:rPr>
          <w:rFonts w:ascii="Arial" w:hAnsi="Arial" w:cs="Arial"/>
          <w:b/>
          <w:bCs/>
        </w:rPr>
      </w:pPr>
      <w:r w:rsidRPr="00A85843">
        <w:rPr>
          <w:rFonts w:ascii="Arial" w:hAnsi="Arial" w:cs="Arial"/>
          <w:b/>
          <w:bCs/>
        </w:rPr>
        <w:t>Moderator:</w:t>
      </w:r>
    </w:p>
    <w:p w14:paraId="513B3069" w14:textId="36F90EB6" w:rsidR="00814FD8" w:rsidRPr="00A85843" w:rsidRDefault="00814FD8" w:rsidP="00814FD8">
      <w:pPr>
        <w:ind w:left="2160"/>
        <w:jc w:val="both"/>
        <w:rPr>
          <w:rFonts w:ascii="Arial" w:hAnsi="Arial" w:cs="Arial"/>
          <w:b/>
          <w:bCs/>
        </w:rPr>
      </w:pPr>
      <w:r w:rsidRPr="00A85843">
        <w:rPr>
          <w:rFonts w:ascii="Arial" w:hAnsi="Arial" w:cs="Arial"/>
          <w:b/>
          <w:bCs/>
        </w:rPr>
        <w:t xml:space="preserve">Speakers </w:t>
      </w:r>
    </w:p>
    <w:p w14:paraId="68B6BB60" w14:textId="3FE7E408" w:rsidR="00814FD8" w:rsidRDefault="00814FD8" w:rsidP="00A85843">
      <w:pPr>
        <w:pStyle w:val="ListParagraph"/>
        <w:numPr>
          <w:ilvl w:val="0"/>
          <w:numId w:val="11"/>
        </w:numPr>
        <w:jc w:val="both"/>
        <w:rPr>
          <w:rFonts w:ascii="Arial" w:hAnsi="Arial" w:cs="Arial"/>
          <w:b/>
          <w:bCs/>
        </w:rPr>
      </w:pPr>
      <w:r w:rsidRPr="00A85843">
        <w:rPr>
          <w:rFonts w:ascii="Arial" w:hAnsi="Arial" w:cs="Arial"/>
          <w:b/>
          <w:bCs/>
        </w:rPr>
        <w:lastRenderedPageBreak/>
        <w:t xml:space="preserve">Mr. Frank Halmos, Chief Executive Officer, </w:t>
      </w:r>
      <w:r w:rsidR="00F07A57" w:rsidRPr="00A85843">
        <w:rPr>
          <w:rFonts w:ascii="Arial" w:hAnsi="Arial" w:cs="Arial"/>
          <w:b/>
          <w:bCs/>
        </w:rPr>
        <w:t>ENSANA</w:t>
      </w:r>
      <w:r w:rsidR="0090214D" w:rsidRPr="00A85843">
        <w:rPr>
          <w:rFonts w:ascii="Arial" w:hAnsi="Arial" w:cs="Arial"/>
          <w:b/>
          <w:bCs/>
        </w:rPr>
        <w:t>, Czech Republic</w:t>
      </w:r>
    </w:p>
    <w:p w14:paraId="15EEEB55" w14:textId="2CB5075B" w:rsidR="00D07095" w:rsidRPr="00A85843" w:rsidRDefault="00D07095" w:rsidP="00A85843">
      <w:pPr>
        <w:pStyle w:val="ListParagraph"/>
        <w:numPr>
          <w:ilvl w:val="0"/>
          <w:numId w:val="11"/>
        </w:numPr>
        <w:jc w:val="both"/>
        <w:rPr>
          <w:rFonts w:ascii="Arial" w:hAnsi="Arial" w:cs="Arial"/>
          <w:b/>
          <w:bCs/>
        </w:rPr>
      </w:pPr>
      <w:r w:rsidRPr="00D07095">
        <w:rPr>
          <w:rFonts w:ascii="Arial" w:hAnsi="Arial" w:cs="Arial"/>
          <w:b/>
          <w:bCs/>
        </w:rPr>
        <w:t xml:space="preserve">Ms. Elena </w:t>
      </w:r>
      <w:proofErr w:type="spellStart"/>
      <w:r w:rsidRPr="00D07095">
        <w:rPr>
          <w:rFonts w:ascii="Arial" w:hAnsi="Arial" w:cs="Arial"/>
          <w:b/>
          <w:bCs/>
        </w:rPr>
        <w:t>Ristavaara</w:t>
      </w:r>
      <w:proofErr w:type="spellEnd"/>
      <w:r w:rsidRPr="00D07095">
        <w:rPr>
          <w:rFonts w:ascii="Arial" w:hAnsi="Arial" w:cs="Arial"/>
          <w:b/>
          <w:bCs/>
        </w:rPr>
        <w:t xml:space="preserve">, Partner, </w:t>
      </w:r>
      <w:proofErr w:type="spellStart"/>
      <w:r w:rsidRPr="00D07095">
        <w:rPr>
          <w:rFonts w:ascii="Arial" w:hAnsi="Arial" w:cs="Arial"/>
          <w:b/>
          <w:bCs/>
        </w:rPr>
        <w:t>Kensinton</w:t>
      </w:r>
      <w:proofErr w:type="spellEnd"/>
      <w:r w:rsidRPr="00D07095">
        <w:rPr>
          <w:rFonts w:ascii="Arial" w:hAnsi="Arial" w:cs="Arial"/>
          <w:b/>
          <w:bCs/>
        </w:rPr>
        <w:t xml:space="preserve"> </w:t>
      </w:r>
      <w:r>
        <w:rPr>
          <w:rFonts w:ascii="Arial" w:hAnsi="Arial" w:cs="Arial"/>
          <w:b/>
          <w:bCs/>
        </w:rPr>
        <w:t>A</w:t>
      </w:r>
      <w:r w:rsidRPr="00D07095">
        <w:rPr>
          <w:rFonts w:ascii="Arial" w:hAnsi="Arial" w:cs="Arial"/>
          <w:b/>
          <w:bCs/>
        </w:rPr>
        <w:t>dvisors</w:t>
      </w:r>
    </w:p>
    <w:p w14:paraId="172AC2BC" w14:textId="173F3E07" w:rsidR="00814FD8" w:rsidRPr="00A85843" w:rsidRDefault="0090214D" w:rsidP="00A85843">
      <w:pPr>
        <w:pStyle w:val="ListParagraph"/>
        <w:numPr>
          <w:ilvl w:val="0"/>
          <w:numId w:val="11"/>
        </w:numPr>
        <w:jc w:val="both"/>
        <w:rPr>
          <w:rFonts w:ascii="Arial" w:hAnsi="Arial" w:cs="Arial"/>
        </w:rPr>
      </w:pPr>
      <w:r w:rsidRPr="00A85843">
        <w:rPr>
          <w:rFonts w:ascii="Arial" w:hAnsi="Arial" w:cs="Arial"/>
        </w:rPr>
        <w:t>Representative of the Safed-Dara Ski Complex, Tajikistan</w:t>
      </w:r>
    </w:p>
    <w:p w14:paraId="09CD13E6" w14:textId="77777777" w:rsidR="00814FD8" w:rsidRPr="001E1E5D" w:rsidRDefault="00814FD8" w:rsidP="00814FD8">
      <w:pPr>
        <w:ind w:left="2160"/>
        <w:jc w:val="both"/>
        <w:rPr>
          <w:rFonts w:ascii="Arial" w:hAnsi="Arial" w:cs="Arial"/>
        </w:rPr>
      </w:pPr>
    </w:p>
    <w:p w14:paraId="10E94153" w14:textId="7C5EEDB1" w:rsidR="006A7C31" w:rsidRPr="008A4D08" w:rsidRDefault="0051202C" w:rsidP="008A4D08">
      <w:pPr>
        <w:ind w:left="2160" w:hanging="2160"/>
        <w:jc w:val="both"/>
        <w:rPr>
          <w:rFonts w:ascii="Arial" w:hAnsi="Arial" w:cs="Arial"/>
        </w:rPr>
      </w:pPr>
      <w:r w:rsidRPr="00CC5C37">
        <w:rPr>
          <w:rFonts w:ascii="Arial" w:hAnsi="Arial" w:cs="Arial"/>
        </w:rPr>
        <w:t>1</w:t>
      </w:r>
      <w:r w:rsidR="004226C5">
        <w:rPr>
          <w:rFonts w:ascii="Arial" w:hAnsi="Arial" w:cs="Arial"/>
        </w:rPr>
        <w:t>3:45</w:t>
      </w:r>
      <w:r w:rsidRPr="00CC5C37">
        <w:rPr>
          <w:rFonts w:ascii="Arial" w:hAnsi="Arial" w:cs="Arial"/>
        </w:rPr>
        <w:tab/>
      </w:r>
      <w:r w:rsidR="001E1E5D" w:rsidRPr="00E24F8A">
        <w:rPr>
          <w:rFonts w:ascii="Arial" w:hAnsi="Arial" w:cs="Arial"/>
          <w:b/>
          <w:bCs/>
        </w:rPr>
        <w:t xml:space="preserve">Closing </w:t>
      </w:r>
    </w:p>
    <w:p w14:paraId="64930A89" w14:textId="60D1A1D3" w:rsidR="0051202C" w:rsidRPr="00CC5C37" w:rsidRDefault="00AC37F7" w:rsidP="006A7C31">
      <w:pPr>
        <w:jc w:val="both"/>
        <w:rPr>
          <w:rFonts w:ascii="Arial" w:hAnsi="Arial" w:cs="Arial"/>
        </w:rPr>
      </w:pPr>
      <w:r>
        <w:rPr>
          <w:rFonts w:ascii="Arial" w:hAnsi="Arial" w:cs="Arial"/>
        </w:rPr>
        <w:t>14:15</w:t>
      </w:r>
      <w:r w:rsidR="0051202C" w:rsidRPr="00CC5C37">
        <w:rPr>
          <w:rFonts w:ascii="Arial" w:hAnsi="Arial" w:cs="Arial"/>
        </w:rPr>
        <w:tab/>
      </w:r>
      <w:r w:rsidR="00E24F8A">
        <w:rPr>
          <w:rFonts w:ascii="Arial" w:hAnsi="Arial" w:cs="Arial"/>
        </w:rPr>
        <w:tab/>
      </w:r>
      <w:r w:rsidR="004226C5">
        <w:rPr>
          <w:rFonts w:ascii="Arial" w:hAnsi="Arial" w:cs="Arial"/>
        </w:rPr>
        <w:tab/>
      </w:r>
      <w:r w:rsidR="001E1E5D" w:rsidRPr="004226C5">
        <w:rPr>
          <w:rFonts w:ascii="Arial" w:hAnsi="Arial" w:cs="Arial"/>
          <w:b/>
          <w:bCs/>
        </w:rPr>
        <w:t>Lunch</w:t>
      </w:r>
      <w:r w:rsidR="0051202C" w:rsidRPr="004226C5">
        <w:rPr>
          <w:rFonts w:ascii="Arial" w:hAnsi="Arial" w:cs="Arial"/>
          <w:b/>
          <w:bCs/>
        </w:rPr>
        <w:t xml:space="preserve"> </w:t>
      </w:r>
    </w:p>
    <w:p w14:paraId="43611227" w14:textId="201E72DA" w:rsidR="0051202C" w:rsidRPr="00CC5C37" w:rsidRDefault="0051202C" w:rsidP="0051202C">
      <w:pPr>
        <w:ind w:left="2160" w:hanging="2160"/>
        <w:jc w:val="both"/>
        <w:rPr>
          <w:rFonts w:ascii="Arial" w:hAnsi="Arial" w:cs="Arial"/>
        </w:rPr>
      </w:pPr>
      <w:r w:rsidRPr="00CC5C37">
        <w:rPr>
          <w:rFonts w:ascii="Arial" w:hAnsi="Arial" w:cs="Arial"/>
        </w:rPr>
        <w:t>20:00</w:t>
      </w:r>
      <w:r w:rsidRPr="00CC5C37">
        <w:rPr>
          <w:rFonts w:ascii="Arial" w:hAnsi="Arial" w:cs="Arial"/>
        </w:rPr>
        <w:tab/>
      </w:r>
      <w:r w:rsidRPr="00E24F8A">
        <w:rPr>
          <w:rFonts w:ascii="Arial" w:hAnsi="Arial" w:cs="Arial"/>
          <w:b/>
          <w:bCs/>
        </w:rPr>
        <w:t>Gala dinner</w:t>
      </w:r>
      <w:r w:rsidRPr="00CC5C37">
        <w:rPr>
          <w:rFonts w:ascii="Arial" w:hAnsi="Arial" w:cs="Arial"/>
        </w:rPr>
        <w:t xml:space="preserve"> </w:t>
      </w:r>
    </w:p>
    <w:p w14:paraId="267B9D26" w14:textId="77777777" w:rsidR="008A4D08" w:rsidRDefault="008A4D08" w:rsidP="00053C95">
      <w:pPr>
        <w:jc w:val="both"/>
        <w:rPr>
          <w:rFonts w:ascii="Arial" w:hAnsi="Arial" w:cs="Arial"/>
          <w:b/>
          <w:bCs/>
          <w:u w:val="single"/>
        </w:rPr>
      </w:pPr>
    </w:p>
    <w:p w14:paraId="41CBC0E7" w14:textId="699D3988" w:rsidR="00053C95" w:rsidRPr="00CC5C37" w:rsidRDefault="00936F32" w:rsidP="00053C95">
      <w:pPr>
        <w:jc w:val="both"/>
        <w:rPr>
          <w:rFonts w:ascii="Arial" w:hAnsi="Arial" w:cs="Arial"/>
          <w:b/>
          <w:bCs/>
          <w:u w:val="single"/>
        </w:rPr>
      </w:pPr>
      <w:r>
        <w:rPr>
          <w:rFonts w:ascii="Arial" w:hAnsi="Arial" w:cs="Arial"/>
          <w:b/>
          <w:bCs/>
          <w:u w:val="single"/>
        </w:rPr>
        <w:t>18 September</w:t>
      </w:r>
      <w:r w:rsidR="00053C95" w:rsidRPr="00CC5C37">
        <w:rPr>
          <w:rFonts w:ascii="Arial" w:hAnsi="Arial" w:cs="Arial"/>
          <w:b/>
          <w:bCs/>
          <w:u w:val="single"/>
        </w:rPr>
        <w:t xml:space="preserve"> (</w:t>
      </w:r>
      <w:r>
        <w:rPr>
          <w:rFonts w:ascii="Arial" w:hAnsi="Arial" w:cs="Arial"/>
          <w:b/>
          <w:bCs/>
          <w:u w:val="single"/>
        </w:rPr>
        <w:t>Thursday</w:t>
      </w:r>
      <w:r w:rsidR="00053C95" w:rsidRPr="00CC5C37">
        <w:rPr>
          <w:rFonts w:ascii="Arial" w:hAnsi="Arial" w:cs="Arial"/>
          <w:b/>
          <w:bCs/>
          <w:u w:val="single"/>
        </w:rPr>
        <w:t>)</w:t>
      </w:r>
    </w:p>
    <w:p w14:paraId="7CC47ED5" w14:textId="4A3EE159" w:rsidR="0051202C" w:rsidRPr="00CC5C37" w:rsidRDefault="0051202C" w:rsidP="0051202C">
      <w:pPr>
        <w:ind w:left="2160" w:hanging="2160"/>
        <w:jc w:val="both"/>
        <w:rPr>
          <w:rFonts w:ascii="Arial" w:hAnsi="Arial" w:cs="Arial"/>
        </w:rPr>
      </w:pPr>
      <w:r w:rsidRPr="00CC5C37">
        <w:rPr>
          <w:rFonts w:ascii="Arial" w:hAnsi="Arial" w:cs="Arial"/>
        </w:rPr>
        <w:t>Technical visit/</w:t>
      </w:r>
      <w:r w:rsidR="00053C95" w:rsidRPr="00CC5C37">
        <w:rPr>
          <w:rFonts w:ascii="Arial" w:hAnsi="Arial" w:cs="Arial"/>
        </w:rPr>
        <w:t>S</w:t>
      </w:r>
      <w:r w:rsidRPr="00CC5C37">
        <w:rPr>
          <w:rFonts w:ascii="Arial" w:hAnsi="Arial" w:cs="Arial"/>
        </w:rPr>
        <w:t>ocial</w:t>
      </w:r>
      <w:r w:rsidR="00053C95" w:rsidRPr="00CC5C37">
        <w:rPr>
          <w:rFonts w:ascii="Arial" w:hAnsi="Arial" w:cs="Arial"/>
        </w:rPr>
        <w:t xml:space="preserve"> P</w:t>
      </w:r>
      <w:r w:rsidRPr="00CC5C37">
        <w:rPr>
          <w:rFonts w:ascii="Arial" w:hAnsi="Arial" w:cs="Arial"/>
        </w:rPr>
        <w:t xml:space="preserve">rogramme </w:t>
      </w:r>
    </w:p>
    <w:sectPr w:rsidR="0051202C" w:rsidRPr="00CC5C37" w:rsidSect="00A85843">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A7BA" w14:textId="77777777" w:rsidR="008517AE" w:rsidRDefault="008517AE" w:rsidP="007D7A98">
      <w:pPr>
        <w:spacing w:after="0" w:line="240" w:lineRule="auto"/>
      </w:pPr>
      <w:r>
        <w:separator/>
      </w:r>
    </w:p>
  </w:endnote>
  <w:endnote w:type="continuationSeparator" w:id="0">
    <w:p w14:paraId="5452614C" w14:textId="77777777" w:rsidR="008517AE" w:rsidRDefault="008517AE" w:rsidP="007D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6D5A" w14:textId="77777777" w:rsidR="008517AE" w:rsidRDefault="008517AE" w:rsidP="007D7A98">
      <w:pPr>
        <w:spacing w:after="0" w:line="240" w:lineRule="auto"/>
      </w:pPr>
      <w:r>
        <w:separator/>
      </w:r>
    </w:p>
  </w:footnote>
  <w:footnote w:type="continuationSeparator" w:id="0">
    <w:p w14:paraId="48BD8579" w14:textId="77777777" w:rsidR="008517AE" w:rsidRDefault="008517AE" w:rsidP="007D7A98">
      <w:pPr>
        <w:spacing w:after="0" w:line="240" w:lineRule="auto"/>
      </w:pPr>
      <w:r>
        <w:continuationSeparator/>
      </w:r>
    </w:p>
  </w:footnote>
  <w:footnote w:id="1">
    <w:p w14:paraId="237E9E9F" w14:textId="1763DF30" w:rsidR="007D7A98" w:rsidRPr="007D7A98" w:rsidRDefault="007D7A98">
      <w:pPr>
        <w:pStyle w:val="FootnoteText"/>
      </w:pPr>
      <w:r>
        <w:rPr>
          <w:rStyle w:val="FootnoteReference"/>
        </w:rPr>
        <w:footnoteRef/>
      </w:r>
      <w:r>
        <w:t xml:space="preserve"> </w:t>
      </w:r>
      <w:r w:rsidR="00376D7F" w:rsidRPr="00376D7F">
        <w:rPr>
          <w:rFonts w:ascii="Arial" w:hAnsi="Arial" w:cs="Arial"/>
          <w:i/>
          <w:iCs/>
          <w:sz w:val="16"/>
          <w:szCs w:val="16"/>
        </w:rPr>
        <w:t>World Tourism Barometer, Volume 23 Issue 2, May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8C8"/>
    <w:multiLevelType w:val="hybridMultilevel"/>
    <w:tmpl w:val="2A5C5CA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15F17204"/>
    <w:multiLevelType w:val="hybridMultilevel"/>
    <w:tmpl w:val="8BAE01A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25C644F1"/>
    <w:multiLevelType w:val="hybridMultilevel"/>
    <w:tmpl w:val="2682CD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3B921287"/>
    <w:multiLevelType w:val="hybridMultilevel"/>
    <w:tmpl w:val="923A61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9">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2E0E07"/>
    <w:multiLevelType w:val="hybridMultilevel"/>
    <w:tmpl w:val="8EDE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171C8"/>
    <w:multiLevelType w:val="hybridMultilevel"/>
    <w:tmpl w:val="A1DE596E"/>
    <w:lvl w:ilvl="0" w:tplc="08090001">
      <w:start w:val="1"/>
      <w:numFmt w:val="bullet"/>
      <w:lvlText w:val=""/>
      <w:lvlJc w:val="left"/>
      <w:pPr>
        <w:ind w:left="2886" w:hanging="360"/>
      </w:pPr>
      <w:rPr>
        <w:rFonts w:ascii="Symbol" w:hAnsi="Symbol" w:hint="default"/>
      </w:rPr>
    </w:lvl>
    <w:lvl w:ilvl="1" w:tplc="08090003" w:tentative="1">
      <w:start w:val="1"/>
      <w:numFmt w:val="bullet"/>
      <w:lvlText w:val="o"/>
      <w:lvlJc w:val="left"/>
      <w:pPr>
        <w:ind w:left="3606" w:hanging="360"/>
      </w:pPr>
      <w:rPr>
        <w:rFonts w:ascii="Courier New" w:hAnsi="Courier New" w:cs="Courier New" w:hint="default"/>
      </w:rPr>
    </w:lvl>
    <w:lvl w:ilvl="2" w:tplc="08090005" w:tentative="1">
      <w:start w:val="1"/>
      <w:numFmt w:val="bullet"/>
      <w:lvlText w:val=""/>
      <w:lvlJc w:val="left"/>
      <w:pPr>
        <w:ind w:left="4326" w:hanging="360"/>
      </w:pPr>
      <w:rPr>
        <w:rFonts w:ascii="Wingdings" w:hAnsi="Wingdings" w:hint="default"/>
      </w:rPr>
    </w:lvl>
    <w:lvl w:ilvl="3" w:tplc="08090001" w:tentative="1">
      <w:start w:val="1"/>
      <w:numFmt w:val="bullet"/>
      <w:lvlText w:val=""/>
      <w:lvlJc w:val="left"/>
      <w:pPr>
        <w:ind w:left="5046" w:hanging="360"/>
      </w:pPr>
      <w:rPr>
        <w:rFonts w:ascii="Symbol" w:hAnsi="Symbol" w:hint="default"/>
      </w:rPr>
    </w:lvl>
    <w:lvl w:ilvl="4" w:tplc="08090003" w:tentative="1">
      <w:start w:val="1"/>
      <w:numFmt w:val="bullet"/>
      <w:lvlText w:val="o"/>
      <w:lvlJc w:val="left"/>
      <w:pPr>
        <w:ind w:left="5766" w:hanging="360"/>
      </w:pPr>
      <w:rPr>
        <w:rFonts w:ascii="Courier New" w:hAnsi="Courier New" w:cs="Courier New" w:hint="default"/>
      </w:rPr>
    </w:lvl>
    <w:lvl w:ilvl="5" w:tplc="08090005" w:tentative="1">
      <w:start w:val="1"/>
      <w:numFmt w:val="bullet"/>
      <w:lvlText w:val=""/>
      <w:lvlJc w:val="left"/>
      <w:pPr>
        <w:ind w:left="6486" w:hanging="360"/>
      </w:pPr>
      <w:rPr>
        <w:rFonts w:ascii="Wingdings" w:hAnsi="Wingdings" w:hint="default"/>
      </w:rPr>
    </w:lvl>
    <w:lvl w:ilvl="6" w:tplc="08090001" w:tentative="1">
      <w:start w:val="1"/>
      <w:numFmt w:val="bullet"/>
      <w:lvlText w:val=""/>
      <w:lvlJc w:val="left"/>
      <w:pPr>
        <w:ind w:left="7206" w:hanging="360"/>
      </w:pPr>
      <w:rPr>
        <w:rFonts w:ascii="Symbol" w:hAnsi="Symbol" w:hint="default"/>
      </w:rPr>
    </w:lvl>
    <w:lvl w:ilvl="7" w:tplc="08090003" w:tentative="1">
      <w:start w:val="1"/>
      <w:numFmt w:val="bullet"/>
      <w:lvlText w:val="o"/>
      <w:lvlJc w:val="left"/>
      <w:pPr>
        <w:ind w:left="7926" w:hanging="360"/>
      </w:pPr>
      <w:rPr>
        <w:rFonts w:ascii="Courier New" w:hAnsi="Courier New" w:cs="Courier New" w:hint="default"/>
      </w:rPr>
    </w:lvl>
    <w:lvl w:ilvl="8" w:tplc="08090005" w:tentative="1">
      <w:start w:val="1"/>
      <w:numFmt w:val="bullet"/>
      <w:lvlText w:val=""/>
      <w:lvlJc w:val="left"/>
      <w:pPr>
        <w:ind w:left="8646" w:hanging="360"/>
      </w:pPr>
      <w:rPr>
        <w:rFonts w:ascii="Wingdings" w:hAnsi="Wingdings" w:hint="default"/>
      </w:rPr>
    </w:lvl>
  </w:abstractNum>
  <w:abstractNum w:abstractNumId="6" w15:restartNumberingAfterBreak="0">
    <w:nsid w:val="59026CCB"/>
    <w:multiLevelType w:val="hybridMultilevel"/>
    <w:tmpl w:val="BE82087E"/>
    <w:lvl w:ilvl="0" w:tplc="08090009">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5E9414BE"/>
    <w:multiLevelType w:val="hybridMultilevel"/>
    <w:tmpl w:val="FBE2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F454C"/>
    <w:multiLevelType w:val="hybridMultilevel"/>
    <w:tmpl w:val="877E7F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63CC67B7"/>
    <w:multiLevelType w:val="hybridMultilevel"/>
    <w:tmpl w:val="629214F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74AE0726"/>
    <w:multiLevelType w:val="hybridMultilevel"/>
    <w:tmpl w:val="FCDAE082"/>
    <w:lvl w:ilvl="0" w:tplc="08090009">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685253916">
    <w:abstractNumId w:val="7"/>
  </w:num>
  <w:num w:numId="2" w16cid:durableId="1657612397">
    <w:abstractNumId w:val="1"/>
  </w:num>
  <w:num w:numId="3" w16cid:durableId="2001762455">
    <w:abstractNumId w:val="0"/>
  </w:num>
  <w:num w:numId="4" w16cid:durableId="1114205039">
    <w:abstractNumId w:val="5"/>
  </w:num>
  <w:num w:numId="5" w16cid:durableId="1533881027">
    <w:abstractNumId w:val="2"/>
  </w:num>
  <w:num w:numId="6" w16cid:durableId="2090031999">
    <w:abstractNumId w:val="8"/>
  </w:num>
  <w:num w:numId="7" w16cid:durableId="79374257">
    <w:abstractNumId w:val="6"/>
  </w:num>
  <w:num w:numId="8" w16cid:durableId="823813128">
    <w:abstractNumId w:val="4"/>
  </w:num>
  <w:num w:numId="9" w16cid:durableId="1209420490">
    <w:abstractNumId w:val="10"/>
  </w:num>
  <w:num w:numId="10" w16cid:durableId="1784767659">
    <w:abstractNumId w:val="3"/>
  </w:num>
  <w:num w:numId="11" w16cid:durableId="662851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08"/>
    <w:rsid w:val="000006B0"/>
    <w:rsid w:val="0000250D"/>
    <w:rsid w:val="00036235"/>
    <w:rsid w:val="00042E4A"/>
    <w:rsid w:val="00047273"/>
    <w:rsid w:val="00053C95"/>
    <w:rsid w:val="0005444B"/>
    <w:rsid w:val="0008438F"/>
    <w:rsid w:val="00093F22"/>
    <w:rsid w:val="000B7153"/>
    <w:rsid w:val="000C6E32"/>
    <w:rsid w:val="000D7F04"/>
    <w:rsid w:val="000E234A"/>
    <w:rsid w:val="000E4DFD"/>
    <w:rsid w:val="000F6EA3"/>
    <w:rsid w:val="00134E57"/>
    <w:rsid w:val="00174784"/>
    <w:rsid w:val="001A2EB4"/>
    <w:rsid w:val="001B6C21"/>
    <w:rsid w:val="001E1E5D"/>
    <w:rsid w:val="00210674"/>
    <w:rsid w:val="00233CF7"/>
    <w:rsid w:val="002729A1"/>
    <w:rsid w:val="002802C8"/>
    <w:rsid w:val="002A4A8B"/>
    <w:rsid w:val="002B103A"/>
    <w:rsid w:val="002C35EE"/>
    <w:rsid w:val="002D2705"/>
    <w:rsid w:val="00306707"/>
    <w:rsid w:val="0031515D"/>
    <w:rsid w:val="00337FD1"/>
    <w:rsid w:val="00372F4F"/>
    <w:rsid w:val="00376D7F"/>
    <w:rsid w:val="003A1871"/>
    <w:rsid w:val="003B5316"/>
    <w:rsid w:val="003C3D22"/>
    <w:rsid w:val="003D3BFF"/>
    <w:rsid w:val="004025BD"/>
    <w:rsid w:val="00406919"/>
    <w:rsid w:val="004226C5"/>
    <w:rsid w:val="00431D4C"/>
    <w:rsid w:val="00442302"/>
    <w:rsid w:val="00446F7C"/>
    <w:rsid w:val="0045103D"/>
    <w:rsid w:val="00454464"/>
    <w:rsid w:val="00473B0C"/>
    <w:rsid w:val="004F5462"/>
    <w:rsid w:val="00504A71"/>
    <w:rsid w:val="0051202C"/>
    <w:rsid w:val="005B1504"/>
    <w:rsid w:val="00627530"/>
    <w:rsid w:val="0063503E"/>
    <w:rsid w:val="006445A0"/>
    <w:rsid w:val="00647C25"/>
    <w:rsid w:val="0065483E"/>
    <w:rsid w:val="00682116"/>
    <w:rsid w:val="00690C8E"/>
    <w:rsid w:val="006A1492"/>
    <w:rsid w:val="006A7C31"/>
    <w:rsid w:val="006C2F49"/>
    <w:rsid w:val="006C6CAE"/>
    <w:rsid w:val="00752020"/>
    <w:rsid w:val="0075461E"/>
    <w:rsid w:val="0079328E"/>
    <w:rsid w:val="007D1B14"/>
    <w:rsid w:val="007D7A98"/>
    <w:rsid w:val="007E0D8C"/>
    <w:rsid w:val="007F0316"/>
    <w:rsid w:val="008125F5"/>
    <w:rsid w:val="00814FD8"/>
    <w:rsid w:val="008517AE"/>
    <w:rsid w:val="00863A7C"/>
    <w:rsid w:val="00885013"/>
    <w:rsid w:val="008A4D08"/>
    <w:rsid w:val="008C4254"/>
    <w:rsid w:val="008E7CBA"/>
    <w:rsid w:val="0090214D"/>
    <w:rsid w:val="00920DE0"/>
    <w:rsid w:val="00936F32"/>
    <w:rsid w:val="009A41C0"/>
    <w:rsid w:val="009B5428"/>
    <w:rsid w:val="009C0D86"/>
    <w:rsid w:val="00A04124"/>
    <w:rsid w:val="00A10679"/>
    <w:rsid w:val="00A26631"/>
    <w:rsid w:val="00A66FAB"/>
    <w:rsid w:val="00A70076"/>
    <w:rsid w:val="00A85843"/>
    <w:rsid w:val="00A93193"/>
    <w:rsid w:val="00AC37F7"/>
    <w:rsid w:val="00AD2048"/>
    <w:rsid w:val="00B40CD1"/>
    <w:rsid w:val="00B66005"/>
    <w:rsid w:val="00B661C0"/>
    <w:rsid w:val="00B82CAE"/>
    <w:rsid w:val="00B83F1B"/>
    <w:rsid w:val="00BD4B84"/>
    <w:rsid w:val="00BE5729"/>
    <w:rsid w:val="00BF780B"/>
    <w:rsid w:val="00C47969"/>
    <w:rsid w:val="00C67655"/>
    <w:rsid w:val="00C741CD"/>
    <w:rsid w:val="00C91862"/>
    <w:rsid w:val="00CC5C37"/>
    <w:rsid w:val="00D07095"/>
    <w:rsid w:val="00D33BAA"/>
    <w:rsid w:val="00D407F5"/>
    <w:rsid w:val="00D57CEA"/>
    <w:rsid w:val="00D60C17"/>
    <w:rsid w:val="00D836AB"/>
    <w:rsid w:val="00E03468"/>
    <w:rsid w:val="00E11CD1"/>
    <w:rsid w:val="00E17FDD"/>
    <w:rsid w:val="00E24F8A"/>
    <w:rsid w:val="00E2687C"/>
    <w:rsid w:val="00E57755"/>
    <w:rsid w:val="00E76032"/>
    <w:rsid w:val="00E763BF"/>
    <w:rsid w:val="00EA754B"/>
    <w:rsid w:val="00EB23C6"/>
    <w:rsid w:val="00ED1070"/>
    <w:rsid w:val="00F07A57"/>
    <w:rsid w:val="00F250F6"/>
    <w:rsid w:val="00F418BE"/>
    <w:rsid w:val="00F47D5F"/>
    <w:rsid w:val="00F53033"/>
    <w:rsid w:val="00F6522C"/>
    <w:rsid w:val="00F7040E"/>
    <w:rsid w:val="00F714EE"/>
    <w:rsid w:val="00F87608"/>
    <w:rsid w:val="00FA2251"/>
    <w:rsid w:val="00FB4F87"/>
    <w:rsid w:val="00FD1462"/>
    <w:rsid w:val="00FD1824"/>
    <w:rsid w:val="432E53EF"/>
    <w:rsid w:val="607F9D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2B2A"/>
  <w15:chartTrackingRefBased/>
  <w15:docId w15:val="{84B7F847-D0FD-4070-A47F-8728ED0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4A"/>
    <w:pPr>
      <w:ind w:left="720"/>
      <w:contextualSpacing/>
    </w:pPr>
  </w:style>
  <w:style w:type="character" w:styleId="CommentReference">
    <w:name w:val="annotation reference"/>
    <w:basedOn w:val="DefaultParagraphFont"/>
    <w:uiPriority w:val="99"/>
    <w:semiHidden/>
    <w:unhideWhenUsed/>
    <w:rsid w:val="002729A1"/>
    <w:rPr>
      <w:sz w:val="16"/>
      <w:szCs w:val="16"/>
    </w:rPr>
  </w:style>
  <w:style w:type="paragraph" w:styleId="CommentText">
    <w:name w:val="annotation text"/>
    <w:basedOn w:val="Normal"/>
    <w:link w:val="CommentTextChar"/>
    <w:uiPriority w:val="99"/>
    <w:unhideWhenUsed/>
    <w:rsid w:val="002729A1"/>
    <w:pPr>
      <w:spacing w:line="240" w:lineRule="auto"/>
    </w:pPr>
    <w:rPr>
      <w:sz w:val="20"/>
      <w:szCs w:val="20"/>
    </w:rPr>
  </w:style>
  <w:style w:type="character" w:customStyle="1" w:styleId="CommentTextChar">
    <w:name w:val="Comment Text Char"/>
    <w:basedOn w:val="DefaultParagraphFont"/>
    <w:link w:val="CommentText"/>
    <w:uiPriority w:val="99"/>
    <w:rsid w:val="002729A1"/>
    <w:rPr>
      <w:sz w:val="20"/>
      <w:szCs w:val="20"/>
    </w:rPr>
  </w:style>
  <w:style w:type="paragraph" w:styleId="CommentSubject">
    <w:name w:val="annotation subject"/>
    <w:basedOn w:val="CommentText"/>
    <w:next w:val="CommentText"/>
    <w:link w:val="CommentSubjectChar"/>
    <w:uiPriority w:val="99"/>
    <w:semiHidden/>
    <w:unhideWhenUsed/>
    <w:rsid w:val="002729A1"/>
    <w:rPr>
      <w:b/>
      <w:bCs/>
    </w:rPr>
  </w:style>
  <w:style w:type="character" w:customStyle="1" w:styleId="CommentSubjectChar">
    <w:name w:val="Comment Subject Char"/>
    <w:basedOn w:val="CommentTextChar"/>
    <w:link w:val="CommentSubject"/>
    <w:uiPriority w:val="99"/>
    <w:semiHidden/>
    <w:rsid w:val="002729A1"/>
    <w:rPr>
      <w:b/>
      <w:bCs/>
      <w:sz w:val="20"/>
      <w:szCs w:val="20"/>
    </w:rPr>
  </w:style>
  <w:style w:type="paragraph" w:styleId="Revision">
    <w:name w:val="Revision"/>
    <w:hidden/>
    <w:uiPriority w:val="99"/>
    <w:semiHidden/>
    <w:rsid w:val="00B40CD1"/>
    <w:pPr>
      <w:spacing w:after="0" w:line="240" w:lineRule="auto"/>
    </w:pPr>
  </w:style>
  <w:style w:type="paragraph" w:styleId="NormalWeb">
    <w:name w:val="Normal (Web)"/>
    <w:basedOn w:val="Normal"/>
    <w:uiPriority w:val="99"/>
    <w:semiHidden/>
    <w:unhideWhenUsed/>
    <w:rsid w:val="008850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7D7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A98"/>
    <w:rPr>
      <w:sz w:val="20"/>
      <w:szCs w:val="20"/>
    </w:rPr>
  </w:style>
  <w:style w:type="character" w:styleId="FootnoteReference">
    <w:name w:val="footnote reference"/>
    <w:basedOn w:val="DefaultParagraphFont"/>
    <w:uiPriority w:val="99"/>
    <w:semiHidden/>
    <w:unhideWhenUsed/>
    <w:rsid w:val="007D7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40503">
      <w:bodyDiv w:val="1"/>
      <w:marLeft w:val="0"/>
      <w:marRight w:val="0"/>
      <w:marTop w:val="0"/>
      <w:marBottom w:val="0"/>
      <w:divBdr>
        <w:top w:val="none" w:sz="0" w:space="0" w:color="auto"/>
        <w:left w:val="none" w:sz="0" w:space="0" w:color="auto"/>
        <w:bottom w:val="none" w:sz="0" w:space="0" w:color="auto"/>
        <w:right w:val="none" w:sz="0" w:space="0" w:color="auto"/>
      </w:divBdr>
    </w:div>
    <w:div w:id="215119725">
      <w:bodyDiv w:val="1"/>
      <w:marLeft w:val="0"/>
      <w:marRight w:val="0"/>
      <w:marTop w:val="0"/>
      <w:marBottom w:val="0"/>
      <w:divBdr>
        <w:top w:val="none" w:sz="0" w:space="0" w:color="auto"/>
        <w:left w:val="none" w:sz="0" w:space="0" w:color="auto"/>
        <w:bottom w:val="none" w:sz="0" w:space="0" w:color="auto"/>
        <w:right w:val="none" w:sz="0" w:space="0" w:color="auto"/>
      </w:divBdr>
    </w:div>
    <w:div w:id="239289883">
      <w:bodyDiv w:val="1"/>
      <w:marLeft w:val="0"/>
      <w:marRight w:val="0"/>
      <w:marTop w:val="0"/>
      <w:marBottom w:val="0"/>
      <w:divBdr>
        <w:top w:val="none" w:sz="0" w:space="0" w:color="auto"/>
        <w:left w:val="none" w:sz="0" w:space="0" w:color="auto"/>
        <w:bottom w:val="none" w:sz="0" w:space="0" w:color="auto"/>
        <w:right w:val="none" w:sz="0" w:space="0" w:color="auto"/>
      </w:divBdr>
    </w:div>
    <w:div w:id="689068797">
      <w:bodyDiv w:val="1"/>
      <w:marLeft w:val="0"/>
      <w:marRight w:val="0"/>
      <w:marTop w:val="0"/>
      <w:marBottom w:val="0"/>
      <w:divBdr>
        <w:top w:val="none" w:sz="0" w:space="0" w:color="auto"/>
        <w:left w:val="none" w:sz="0" w:space="0" w:color="auto"/>
        <w:bottom w:val="none" w:sz="0" w:space="0" w:color="auto"/>
        <w:right w:val="none" w:sz="0" w:space="0" w:color="auto"/>
      </w:divBdr>
    </w:div>
    <w:div w:id="726345105">
      <w:bodyDiv w:val="1"/>
      <w:marLeft w:val="0"/>
      <w:marRight w:val="0"/>
      <w:marTop w:val="0"/>
      <w:marBottom w:val="0"/>
      <w:divBdr>
        <w:top w:val="none" w:sz="0" w:space="0" w:color="auto"/>
        <w:left w:val="none" w:sz="0" w:space="0" w:color="auto"/>
        <w:bottom w:val="none" w:sz="0" w:space="0" w:color="auto"/>
        <w:right w:val="none" w:sz="0" w:space="0" w:color="auto"/>
      </w:divBdr>
    </w:div>
    <w:div w:id="864441034">
      <w:bodyDiv w:val="1"/>
      <w:marLeft w:val="0"/>
      <w:marRight w:val="0"/>
      <w:marTop w:val="0"/>
      <w:marBottom w:val="0"/>
      <w:divBdr>
        <w:top w:val="none" w:sz="0" w:space="0" w:color="auto"/>
        <w:left w:val="none" w:sz="0" w:space="0" w:color="auto"/>
        <w:bottom w:val="none" w:sz="0" w:space="0" w:color="auto"/>
        <w:right w:val="none" w:sz="0" w:space="0" w:color="auto"/>
      </w:divBdr>
    </w:div>
    <w:div w:id="1086465809">
      <w:bodyDiv w:val="1"/>
      <w:marLeft w:val="0"/>
      <w:marRight w:val="0"/>
      <w:marTop w:val="0"/>
      <w:marBottom w:val="0"/>
      <w:divBdr>
        <w:top w:val="none" w:sz="0" w:space="0" w:color="auto"/>
        <w:left w:val="none" w:sz="0" w:space="0" w:color="auto"/>
        <w:bottom w:val="none" w:sz="0" w:space="0" w:color="auto"/>
        <w:right w:val="none" w:sz="0" w:space="0" w:color="auto"/>
      </w:divBdr>
    </w:div>
    <w:div w:id="1149251915">
      <w:bodyDiv w:val="1"/>
      <w:marLeft w:val="0"/>
      <w:marRight w:val="0"/>
      <w:marTop w:val="0"/>
      <w:marBottom w:val="0"/>
      <w:divBdr>
        <w:top w:val="none" w:sz="0" w:space="0" w:color="auto"/>
        <w:left w:val="none" w:sz="0" w:space="0" w:color="auto"/>
        <w:bottom w:val="none" w:sz="0" w:space="0" w:color="auto"/>
        <w:right w:val="none" w:sz="0" w:space="0" w:color="auto"/>
      </w:divBdr>
    </w:div>
    <w:div w:id="1572498899">
      <w:bodyDiv w:val="1"/>
      <w:marLeft w:val="0"/>
      <w:marRight w:val="0"/>
      <w:marTop w:val="0"/>
      <w:marBottom w:val="0"/>
      <w:divBdr>
        <w:top w:val="none" w:sz="0" w:space="0" w:color="auto"/>
        <w:left w:val="none" w:sz="0" w:space="0" w:color="auto"/>
        <w:bottom w:val="none" w:sz="0" w:space="0" w:color="auto"/>
        <w:right w:val="none" w:sz="0" w:space="0" w:color="auto"/>
      </w:divBdr>
    </w:div>
    <w:div w:id="1710455042">
      <w:bodyDiv w:val="1"/>
      <w:marLeft w:val="0"/>
      <w:marRight w:val="0"/>
      <w:marTop w:val="0"/>
      <w:marBottom w:val="0"/>
      <w:divBdr>
        <w:top w:val="none" w:sz="0" w:space="0" w:color="auto"/>
        <w:left w:val="none" w:sz="0" w:space="0" w:color="auto"/>
        <w:bottom w:val="none" w:sz="0" w:space="0" w:color="auto"/>
        <w:right w:val="none" w:sz="0" w:space="0" w:color="auto"/>
      </w:divBdr>
    </w:div>
    <w:div w:id="1944075187">
      <w:bodyDiv w:val="1"/>
      <w:marLeft w:val="0"/>
      <w:marRight w:val="0"/>
      <w:marTop w:val="0"/>
      <w:marBottom w:val="0"/>
      <w:divBdr>
        <w:top w:val="none" w:sz="0" w:space="0" w:color="auto"/>
        <w:left w:val="none" w:sz="0" w:space="0" w:color="auto"/>
        <w:bottom w:val="none" w:sz="0" w:space="0" w:color="auto"/>
        <w:right w:val="none" w:sz="0" w:space="0" w:color="auto"/>
      </w:divBdr>
    </w:div>
    <w:div w:id="2023582375">
      <w:bodyDiv w:val="1"/>
      <w:marLeft w:val="0"/>
      <w:marRight w:val="0"/>
      <w:marTop w:val="0"/>
      <w:marBottom w:val="0"/>
      <w:divBdr>
        <w:top w:val="none" w:sz="0" w:space="0" w:color="auto"/>
        <w:left w:val="none" w:sz="0" w:space="0" w:color="auto"/>
        <w:bottom w:val="none" w:sz="0" w:space="0" w:color="auto"/>
        <w:right w:val="none" w:sz="0" w:space="0" w:color="auto"/>
      </w:divBdr>
    </w:div>
    <w:div w:id="21377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A5020165B147875947E09F5113E4" ma:contentTypeVersion="18" ma:contentTypeDescription="Create a new document." ma:contentTypeScope="" ma:versionID="1073b4b2bb4104b8f0941329bdca6a2d">
  <xsd:schema xmlns:xsd="http://www.w3.org/2001/XMLSchema" xmlns:xs="http://www.w3.org/2001/XMLSchema" xmlns:p="http://schemas.microsoft.com/office/2006/metadata/properties" xmlns:ns2="66b4956e-bafa-45cb-a467-afbd5bf22071" xmlns:ns3="6c4cdef0-01c3-459d-9594-ba3879ca2a7d" targetNamespace="http://schemas.microsoft.com/office/2006/metadata/properties" ma:root="true" ma:fieldsID="6bfd01a55e9ac4f57a7045064c18d2d1" ns2:_="" ns3:_="">
    <xsd:import namespace="66b4956e-bafa-45cb-a467-afbd5bf22071"/>
    <xsd:import namespace="6c4cdef0-01c3-459d-9594-ba3879ca2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4956e-bafa-45cb-a467-afbd5bf22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514f23-6b91-487a-b9cf-1e1c7e6a8f0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cdef0-01c3-459d-9594-ba3879ca2a7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264f76-300c-4cbf-a5be-4d52a0599e03}" ma:internalName="TaxCatchAll" ma:showField="CatchAllData" ma:web="6c4cdef0-01c3-459d-9594-ba3879ca2a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4cdef0-01c3-459d-9594-ba3879ca2a7d" xsi:nil="true"/>
    <lcf76f155ced4ddcb4097134ff3c332f xmlns="66b4956e-bafa-45cb-a467-afbd5bf220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BB87C-6EFB-47E2-95F6-587FE7178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4956e-bafa-45cb-a467-afbd5bf22071"/>
    <ds:schemaRef ds:uri="6c4cdef0-01c3-459d-9594-ba3879ca2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ED9B8-50BC-4946-8A47-ECCE58D34589}">
  <ds:schemaRefs>
    <ds:schemaRef ds:uri="http://schemas.microsoft.com/office/2006/metadata/properties"/>
    <ds:schemaRef ds:uri="http://schemas.microsoft.com/office/infopath/2007/PartnerControls"/>
    <ds:schemaRef ds:uri="6c4cdef0-01c3-459d-9594-ba3879ca2a7d"/>
    <ds:schemaRef ds:uri="66b4956e-bafa-45cb-a467-afbd5bf22071"/>
  </ds:schemaRefs>
</ds:datastoreItem>
</file>

<file path=customXml/itemProps3.xml><?xml version="1.0" encoding="utf-8"?>
<ds:datastoreItem xmlns:ds="http://schemas.openxmlformats.org/officeDocument/2006/customXml" ds:itemID="{04A5ABC2-F7D0-42FE-82C9-8DF8975E55EC}">
  <ds:schemaRefs>
    <ds:schemaRef ds:uri="http://schemas.openxmlformats.org/officeDocument/2006/bibliography"/>
  </ds:schemaRefs>
</ds:datastoreItem>
</file>

<file path=customXml/itemProps4.xml><?xml version="1.0" encoding="utf-8"?>
<ds:datastoreItem xmlns:ds="http://schemas.openxmlformats.org/officeDocument/2006/customXml" ds:itemID="{AB3FDE65-CBB4-4A65-9996-B19BB4B44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4</Pages>
  <Words>1021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UNWTO</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Janech</dc:creator>
  <cp:keywords/>
  <dc:description/>
  <cp:lastModifiedBy>Peter Janech</cp:lastModifiedBy>
  <cp:revision>59</cp:revision>
  <cp:lastPrinted>2025-07-02T08:54:00Z</cp:lastPrinted>
  <dcterms:created xsi:type="dcterms:W3CDTF">2024-10-01T11:05:00Z</dcterms:created>
  <dcterms:modified xsi:type="dcterms:W3CDTF">2025-07-02T10:48:00Z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0x01010040A2A5020165B147875947E09F5113E4</vt:lpwstr>
  </property>
  <property fmtid="{D5CDD505-2E9C-101B-9397-08002B2CF9AE}" pid="3" name="GrammarlyDocumentId">
    <vt:lpwstr>460a11e52b197d735d3eddb2b04f48ad608ebb52985675f8caec39c26e0c6dc1</vt:lpwstr>
  </property>
  <property fmtid="{D5CDD505-2E9C-101B-9397-08002B2CF9AE}" pid="4" name="MediaServiceImageTags">
    <vt:lpwstr/>
  </property>
</Properties>
</file>